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E0532" w:rsidRDefault="00C230FA">
      <w:pPr>
        <w:tabs>
          <w:tab w:val="center" w:pos="4536"/>
          <w:tab w:val="right" w:pos="8280"/>
          <w:tab w:val="right" w:pos="9639"/>
        </w:tabs>
        <w:spacing w:before="120" w:after="120"/>
        <w:ind w:right="2"/>
        <w:rPr>
          <w:rFonts w:ascii="Arial" w:hAnsi="Arial" w:cs="Arial"/>
          <w:b/>
          <w:bCs/>
          <w:sz w:val="28"/>
        </w:rPr>
      </w:pPr>
      <w:r>
        <w:rPr>
          <w:rFonts w:ascii="Arial" w:hAnsi="Arial" w:cs="Arial"/>
          <w:b/>
          <w:bCs/>
          <w:sz w:val="28"/>
        </w:rPr>
        <w:t>3GPP TSG RAN WG1 #10</w:t>
      </w:r>
      <w:r>
        <w:rPr>
          <w:rFonts w:ascii="Arial" w:hAnsi="Arial" w:cs="Arial" w:hint="eastAsia"/>
          <w:b/>
          <w:bCs/>
          <w:sz w:val="28"/>
        </w:rPr>
        <w:t>1</w:t>
      </w:r>
      <w:r>
        <w:rPr>
          <w:rFonts w:ascii="Arial" w:hAnsi="Arial" w:cs="Arial"/>
          <w:b/>
          <w:bCs/>
          <w:sz w:val="28"/>
        </w:rPr>
        <w:t>-e</w:t>
      </w:r>
      <w:r>
        <w:rPr>
          <w:rFonts w:ascii="Arial" w:hAnsi="Arial" w:cs="Arial" w:hint="eastAsia"/>
          <w:b/>
          <w:bCs/>
          <w:sz w:val="28"/>
        </w:rPr>
        <w:t xml:space="preserve"> </w:t>
      </w:r>
      <w:r>
        <w:rPr>
          <w:rFonts w:ascii="Arial" w:hAnsi="Arial" w:cs="Arial" w:hint="eastAsia"/>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Pr>
          <w:rFonts w:ascii="Arial" w:hAnsi="Arial" w:cs="Arial"/>
          <w:b/>
          <w:bCs/>
          <w:sz w:val="28"/>
        </w:rPr>
        <w:t>R1-2003554</w:t>
      </w:r>
    </w:p>
    <w:p w:rsidR="000E0532" w:rsidRDefault="00C230FA">
      <w:pPr>
        <w:tabs>
          <w:tab w:val="center" w:pos="4536"/>
          <w:tab w:val="right" w:pos="9072"/>
        </w:tabs>
        <w:spacing w:before="120" w:after="120"/>
        <w:rPr>
          <w:rFonts w:ascii="Arial" w:eastAsia="MS Mincho" w:hAnsi="Arial" w:cs="Arial"/>
          <w:b/>
          <w:bCs/>
          <w:sz w:val="28"/>
          <w:lang w:eastAsia="ja-JP"/>
        </w:rPr>
      </w:pPr>
      <w:r>
        <w:rPr>
          <w:rFonts w:ascii="Arial" w:eastAsia="MS Mincho" w:hAnsi="Arial" w:cs="Arial"/>
          <w:b/>
          <w:bCs/>
          <w:sz w:val="28"/>
          <w:lang w:eastAsia="ja-JP"/>
        </w:rPr>
        <w:t xml:space="preserve">e-Meeting, </w:t>
      </w:r>
      <w:r w:rsidR="00A74DC8">
        <w:rPr>
          <w:rFonts w:ascii="Arial" w:eastAsia="MS Mincho" w:hAnsi="Arial" w:cs="Arial"/>
          <w:b/>
          <w:bCs/>
          <w:sz w:val="28"/>
          <w:lang w:eastAsia="ja-JP"/>
        </w:rPr>
        <w:t>May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eastAsia="MS Mincho" w:hAnsi="Arial" w:cs="Arial"/>
          <w:b/>
          <w:bCs/>
          <w:sz w:val="28"/>
          <w:szCs w:val="22"/>
          <w:lang w:eastAsia="ja-JP"/>
        </w:rPr>
        <w:t xml:space="preserve">– </w:t>
      </w:r>
      <w:r>
        <w:rPr>
          <w:rFonts w:ascii="Arial" w:eastAsia="MS Mincho" w:hAnsi="Arial" w:cs="Arial" w:hint="eastAsia"/>
          <w:b/>
          <w:bCs/>
          <w:sz w:val="28"/>
          <w:szCs w:val="22"/>
          <w:lang w:eastAsia="ja-JP"/>
        </w:rPr>
        <w:t>June 5</w:t>
      </w:r>
      <w:r>
        <w:rPr>
          <w:rFonts w:ascii="Arial" w:eastAsia="MS Mincho" w:hAnsi="Arial" w:cs="Arial" w:hint="eastAsia"/>
          <w:b/>
          <w:bCs/>
          <w:sz w:val="28"/>
          <w:szCs w:val="22"/>
          <w:vertAlign w:val="superscript"/>
          <w:lang w:eastAsia="ja-JP"/>
        </w:rPr>
        <w:t>th</w:t>
      </w:r>
      <w:r>
        <w:rPr>
          <w:rFonts w:ascii="Arial" w:eastAsia="MS Mincho" w:hAnsi="Arial" w:cs="Arial"/>
          <w:b/>
          <w:bCs/>
          <w:sz w:val="28"/>
          <w:szCs w:val="22"/>
          <w:lang w:eastAsia="ja-JP"/>
        </w:rPr>
        <w:t xml:space="preserve">, </w:t>
      </w:r>
      <w:r>
        <w:rPr>
          <w:rFonts w:ascii="Arial" w:eastAsia="MS Mincho" w:hAnsi="Arial" w:cs="Arial"/>
          <w:b/>
          <w:bCs/>
          <w:sz w:val="28"/>
          <w:lang w:eastAsia="ja-JP"/>
        </w:rPr>
        <w:t>2020</w:t>
      </w:r>
    </w:p>
    <w:p w:rsidR="000E0532" w:rsidRDefault="00C230FA" w:rsidP="00A74DC8">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NR Uu control LTE sidelink</w:t>
      </w:r>
    </w:p>
    <w:p w:rsidR="000E0532" w:rsidRDefault="00C230FA">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0E0532" w:rsidRDefault="00C230FA">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7.2.4.7</w:t>
      </w:r>
    </w:p>
    <w:p w:rsidR="000E0532" w:rsidRDefault="00C230FA">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E0532" w:rsidRDefault="00C230FA">
      <w:pPr>
        <w:pStyle w:val="Heading1"/>
        <w:spacing w:before="120" w:after="120"/>
        <w:ind w:left="0"/>
        <w:rPr>
          <w:rFonts w:eastAsia="SimSun"/>
        </w:rPr>
      </w:pPr>
      <w:r>
        <w:rPr>
          <w:rFonts w:eastAsia="SimSun" w:hint="eastAsia"/>
        </w:rPr>
        <w:t>Introduction</w:t>
      </w:r>
    </w:p>
    <w:p w:rsidR="000E0532" w:rsidRDefault="00C230FA">
      <w:pPr>
        <w:spacing w:before="120" w:after="120"/>
        <w:rPr>
          <w:sz w:val="20"/>
        </w:rPr>
      </w:pPr>
      <w:r>
        <w:rPr>
          <w:sz w:val="20"/>
        </w:rPr>
        <w:t xml:space="preserve">There are three issues remaining un-resolved from RAN1 #100bis-e. </w:t>
      </w:r>
    </w:p>
    <w:p w:rsidR="000E0532" w:rsidRDefault="00C230FA">
      <w:pPr>
        <w:pStyle w:val="ListParagraph"/>
        <w:numPr>
          <w:ilvl w:val="0"/>
          <w:numId w:val="8"/>
        </w:numPr>
        <w:spacing w:before="120" w:afterLines="0" w:line="259" w:lineRule="auto"/>
        <w:contextualSpacing w:val="0"/>
        <w:rPr>
          <w:sz w:val="20"/>
          <w:szCs w:val="20"/>
        </w:rPr>
      </w:pPr>
      <w:r>
        <w:rPr>
          <w:sz w:val="20"/>
          <w:szCs w:val="20"/>
        </w:rPr>
        <w:t xml:space="preserve">SL index field in DCI format 3_1. According to the current 38.212/38.213 and 36.212/36.213, this field is present in DCI 3_1 </w:t>
      </w:r>
      <w:r>
        <w:rPr>
          <w:rFonts w:hint="eastAsia"/>
          <w:sz w:val="20"/>
          <w:szCs w:val="20"/>
          <w:lang w:eastAsia="ko-KR"/>
        </w:rPr>
        <w:t xml:space="preserve">only for </w:t>
      </w:r>
      <w:r>
        <w:rPr>
          <w:sz w:val="20"/>
          <w:szCs w:val="20"/>
          <w:lang w:eastAsia="ko-KR"/>
        </w:rPr>
        <w:t xml:space="preserve">cases with [LTE] TDD </w:t>
      </w:r>
      <w:r>
        <w:rPr>
          <w:rFonts w:hint="eastAsia"/>
          <w:sz w:val="20"/>
          <w:szCs w:val="20"/>
          <w:lang w:eastAsia="ko-KR"/>
        </w:rPr>
        <w:t xml:space="preserve">operation with uplink-downlink </w:t>
      </w:r>
      <w:r>
        <w:rPr>
          <w:sz w:val="20"/>
          <w:szCs w:val="20"/>
          <w:lang w:eastAsia="ko-KR"/>
        </w:rPr>
        <w:t>configuration</w:t>
      </w:r>
      <w:r>
        <w:rPr>
          <w:rFonts w:hint="eastAsia"/>
          <w:sz w:val="20"/>
          <w:szCs w:val="20"/>
          <w:lang w:eastAsia="ko-KR"/>
        </w:rPr>
        <w:t xml:space="preserve"> 0</w:t>
      </w:r>
      <w:r>
        <w:rPr>
          <w:rFonts w:hint="eastAsia"/>
          <w:sz w:val="20"/>
          <w:szCs w:val="20"/>
        </w:rPr>
        <w:t>-6</w:t>
      </w:r>
      <w:r>
        <w:rPr>
          <w:sz w:val="20"/>
          <w:szCs w:val="20"/>
        </w:rPr>
        <w:t>. However, it was pointed out in RAN1 #100bis-e that the NR-Uu controlling LTE SL may operate in a scenario without LTE Uu, so in this case the UL/DL configuration used to derive SL_index presence cannot come from LTE Uu TDD operation, but may come from SIB13 configuration on NR Uu.</w:t>
      </w:r>
    </w:p>
    <w:p w:rsidR="000E0532" w:rsidRDefault="00C230FA">
      <w:pPr>
        <w:pStyle w:val="ListParagraph"/>
        <w:numPr>
          <w:ilvl w:val="0"/>
          <w:numId w:val="8"/>
        </w:numPr>
        <w:spacing w:before="120" w:afterLines="0" w:line="259" w:lineRule="auto"/>
        <w:contextualSpacing w:val="0"/>
        <w:rPr>
          <w:sz w:val="20"/>
          <w:szCs w:val="20"/>
        </w:rPr>
      </w:pPr>
      <w:r>
        <w:rPr>
          <w:sz w:val="20"/>
          <w:szCs w:val="20"/>
        </w:rPr>
        <w:t xml:space="preserve">The conflicting time units are identified in the formula </w:t>
      </w:r>
      <m:oMath>
        <m:sSub>
          <m:sSubPr>
            <m:ctrlPr>
              <w:rPr>
                <w:rFonts w:ascii="Cambria Math" w:hAnsi="Cambria Math"/>
                <w:i/>
                <w:sz w:val="20"/>
                <w:szCs w:val="20"/>
                <w:lang w:eastAsia="en-GB"/>
              </w:rPr>
            </m:ctrlPr>
          </m:sSubPr>
          <m:e>
            <m:r>
              <w:rPr>
                <w:rFonts w:ascii="Cambria Math" w:hAnsi="Cambria Math"/>
                <w:sz w:val="20"/>
                <w:szCs w:val="20"/>
              </w:rPr>
              <m:t>T</m:t>
            </m:r>
          </m:e>
          <m:sub>
            <m:r>
              <w:rPr>
                <w:rFonts w:ascii="Cambria Math" w:hAnsi="Cambria Math"/>
                <w:sz w:val="20"/>
                <w:szCs w:val="20"/>
              </w:rPr>
              <m:t>DCI</m:t>
            </m:r>
          </m:sub>
        </m:sSub>
        <m:r>
          <w:rPr>
            <w:rFonts w:ascii="Cambria Math" w:hAnsi="Cambria Math"/>
            <w:sz w:val="20"/>
            <w:szCs w:val="20"/>
          </w:rPr>
          <m:t>-</m:t>
        </m:r>
        <m:f>
          <m:fPr>
            <m:ctrlPr>
              <w:rPr>
                <w:rFonts w:ascii="Cambria Math" w:hAnsi="Cambria Math"/>
                <w:i/>
                <w:sz w:val="20"/>
                <w:szCs w:val="20"/>
                <w:lang w:eastAsia="en-GB"/>
              </w:rPr>
            </m:ctrlPr>
          </m:fPr>
          <m:num>
            <m:sSub>
              <m:sSubPr>
                <m:ctrlPr>
                  <w:rPr>
                    <w:rFonts w:ascii="Cambria Math" w:hAnsi="Cambria Math"/>
                    <w:i/>
                    <w:sz w:val="20"/>
                    <w:szCs w:val="20"/>
                    <w:lang w:eastAsia="en-GB"/>
                  </w:rPr>
                </m:ctrlPr>
              </m:sSubPr>
              <m:e>
                <m:r>
                  <w:rPr>
                    <w:rFonts w:ascii="Cambria Math" w:hAnsi="Cambria Math"/>
                    <w:sz w:val="20"/>
                    <w:szCs w:val="20"/>
                  </w:rPr>
                  <m:t>N</m:t>
                </m:r>
              </m:e>
              <m:sub>
                <m:r>
                  <m:rPr>
                    <m:sty m:val="p"/>
                  </m:rPr>
                  <w:rPr>
                    <w:rFonts w:ascii="Cambria Math" w:hAnsi="Cambria Math"/>
                    <w:sz w:val="20"/>
                    <w:szCs w:val="20"/>
                  </w:rPr>
                  <m:t>TA</m:t>
                </m:r>
              </m:sub>
            </m:sSub>
          </m:num>
          <m:den>
            <m:r>
              <w:rPr>
                <w:rFonts w:ascii="Cambria Math" w:hAnsi="Cambria Math"/>
                <w:sz w:val="20"/>
                <w:szCs w:val="20"/>
              </w:rPr>
              <m:t>2</m:t>
            </m:r>
          </m:den>
        </m:f>
        <m:r>
          <w:rPr>
            <w:rFonts w:ascii="Cambria Math" w:hAnsi="Cambria Math"/>
            <w:sz w:val="20"/>
            <w:szCs w:val="20"/>
          </w:rPr>
          <m:t>×</m:t>
        </m:r>
        <m:sSub>
          <m:sSubPr>
            <m:ctrlPr>
              <w:rPr>
                <w:rFonts w:ascii="Cambria Math" w:hAnsi="Cambria Math"/>
                <w:i/>
                <w:sz w:val="20"/>
                <w:szCs w:val="20"/>
                <w:lang w:eastAsia="en-GB"/>
              </w:rPr>
            </m:ctrlPr>
          </m:sSubPr>
          <m:e>
            <m:r>
              <w:rPr>
                <w:rFonts w:ascii="Cambria Math" w:hAnsi="Cambria Math"/>
                <w:sz w:val="20"/>
                <w:szCs w:val="20"/>
              </w:rPr>
              <m:t>T</m:t>
            </m:r>
          </m:e>
          <m:sub>
            <m:r>
              <m:rPr>
                <m:sty m:val="p"/>
              </m:rPr>
              <w:rPr>
                <w:rFonts w:ascii="Cambria Math" w:hAnsi="Cambria Math"/>
                <w:sz w:val="20"/>
                <w:szCs w:val="20"/>
              </w:rPr>
              <m:t>C</m:t>
            </m:r>
          </m:sub>
        </m:sSub>
        <m:r>
          <w:rPr>
            <w:rFonts w:ascii="Cambria Math" w:hAnsi="Cambria Math"/>
            <w:sz w:val="20"/>
            <w:szCs w:val="20"/>
          </w:rPr>
          <m:t>+X+</m:t>
        </m:r>
        <m:d>
          <m:dPr>
            <m:ctrlPr>
              <w:rPr>
                <w:rFonts w:ascii="Cambria Math" w:hAnsi="Cambria Math"/>
                <w:i/>
                <w:sz w:val="20"/>
                <w:szCs w:val="20"/>
                <w:lang w:eastAsia="en-GB"/>
              </w:rPr>
            </m:ctrlPr>
          </m:dPr>
          <m:e>
            <m:r>
              <w:rPr>
                <w:rFonts w:ascii="Cambria Math" w:hAnsi="Cambria Math"/>
                <w:sz w:val="20"/>
                <w:szCs w:val="20"/>
              </w:rPr>
              <m:t>4+m</m:t>
            </m:r>
          </m:e>
        </m:d>
      </m:oMath>
      <w:r>
        <w:rPr>
          <w:sz w:val="20"/>
          <w:szCs w:val="20"/>
        </w:rPr>
        <w:t>, where Tc is in second while X and m are in ms. It was agreed to raise the issue to editor for a simple fix. However, the issue remains in the latest V2X CR pack.</w:t>
      </w:r>
    </w:p>
    <w:p w:rsidR="000E0532" w:rsidRDefault="00C230FA">
      <w:pPr>
        <w:pStyle w:val="ListParagraph"/>
        <w:numPr>
          <w:ilvl w:val="0"/>
          <w:numId w:val="8"/>
        </w:numPr>
        <w:spacing w:before="120" w:afterLines="0" w:line="259" w:lineRule="auto"/>
        <w:contextualSpacing w:val="0"/>
        <w:rPr>
          <w:sz w:val="20"/>
          <w:szCs w:val="20"/>
        </w:rPr>
      </w:pPr>
      <w:r>
        <w:rPr>
          <w:sz w:val="20"/>
          <w:szCs w:val="20"/>
        </w:rPr>
        <w:t xml:space="preserve">The open-loop power control of LTE SL was discussed in RAN1 #100bis-e but </w:t>
      </w:r>
      <w:r>
        <w:rPr>
          <w:rFonts w:hint="eastAsia"/>
          <w:sz w:val="20"/>
          <w:szCs w:val="20"/>
        </w:rPr>
        <w:t>no consensus was reached</w:t>
      </w:r>
      <w:r w:rsidR="00195747">
        <w:rPr>
          <w:sz w:val="20"/>
          <w:szCs w:val="20"/>
        </w:rPr>
        <w:t xml:space="preserve"> </w:t>
      </w:r>
      <w:r>
        <w:rPr>
          <w:rFonts w:hint="eastAsia"/>
          <w:sz w:val="20"/>
          <w:szCs w:val="20"/>
        </w:rPr>
        <w:t>[</w:t>
      </w:r>
      <w:r>
        <w:rPr>
          <w:rFonts w:eastAsia="SimSun" w:hint="eastAsia"/>
          <w:sz w:val="20"/>
          <w:szCs w:val="20"/>
        </w:rPr>
        <w:t>1</w:t>
      </w:r>
      <w:r>
        <w:rPr>
          <w:rFonts w:hint="eastAsia"/>
          <w:sz w:val="20"/>
          <w:szCs w:val="20"/>
        </w:rPr>
        <w:t>]</w:t>
      </w:r>
      <w:r>
        <w:rPr>
          <w:sz w:val="20"/>
          <w:szCs w:val="20"/>
        </w:rPr>
        <w:t xml:space="preserve">.   </w:t>
      </w:r>
    </w:p>
    <w:p w:rsidR="000E0532" w:rsidRDefault="00C230FA">
      <w:pPr>
        <w:spacing w:before="120" w:after="120"/>
        <w:rPr>
          <w:sz w:val="20"/>
        </w:rPr>
      </w:pPr>
      <w:r>
        <w:rPr>
          <w:rFonts w:hint="eastAsia"/>
          <w:sz w:val="20"/>
        </w:rPr>
        <w:t xml:space="preserve">In this contribution, the remaining issues are further discussed. </w:t>
      </w:r>
    </w:p>
    <w:p w:rsidR="000E0532" w:rsidRDefault="00C230FA">
      <w:pPr>
        <w:pStyle w:val="Heading1"/>
        <w:spacing w:before="120" w:after="120"/>
        <w:ind w:left="0"/>
      </w:pPr>
      <w:r>
        <w:rPr>
          <w:rFonts w:hint="eastAsia"/>
        </w:rPr>
        <w:t>Discussion</w:t>
      </w:r>
      <w:r>
        <w:t>s</w:t>
      </w:r>
    </w:p>
    <w:p w:rsidR="000E0532" w:rsidRDefault="00C230FA">
      <w:pPr>
        <w:pStyle w:val="Heading2"/>
        <w:spacing w:before="120" w:after="120"/>
        <w:ind w:left="0" w:right="210"/>
      </w:pPr>
      <w:r>
        <w:rPr>
          <w:rFonts w:eastAsia="SimSun" w:hint="eastAsia"/>
        </w:rPr>
        <w:t xml:space="preserve">Clarification on </w:t>
      </w:r>
      <w:r>
        <w:t>SL index and fix of timing unit conflict</w:t>
      </w:r>
      <w:r>
        <w:rPr>
          <w:rFonts w:hint="eastAsia"/>
        </w:rPr>
        <w:t xml:space="preserve"> </w:t>
      </w:r>
    </w:p>
    <w:p w:rsidR="000E0532" w:rsidRDefault="00C230FA">
      <w:pPr>
        <w:spacing w:before="120" w:after="120"/>
        <w:rPr>
          <w:sz w:val="20"/>
        </w:rPr>
      </w:pPr>
      <w:r>
        <w:rPr>
          <w:rFonts w:hint="eastAsia"/>
          <w:sz w:val="20"/>
        </w:rPr>
        <w:t xml:space="preserve">Reading the LTE and NR spec together, the definition of the </w:t>
      </w:r>
      <w:r>
        <w:rPr>
          <w:sz w:val="20"/>
        </w:rPr>
        <w:t>‘</w:t>
      </w:r>
      <w:r>
        <w:rPr>
          <w:rFonts w:hint="eastAsia"/>
          <w:sz w:val="20"/>
        </w:rPr>
        <w:t>SL index</w:t>
      </w:r>
      <w:r>
        <w:rPr>
          <w:sz w:val="20"/>
        </w:rPr>
        <w:t>’</w:t>
      </w:r>
      <w:r>
        <w:rPr>
          <w:rFonts w:hint="eastAsia"/>
          <w:sz w:val="20"/>
        </w:rPr>
        <w:t xml:space="preserve"> is not clear</w:t>
      </w:r>
      <w:r>
        <w:rPr>
          <w:sz w:val="20"/>
        </w:rPr>
        <w:t xml:space="preserve"> in two aspects.</w:t>
      </w:r>
    </w:p>
    <w:p w:rsidR="000E0532" w:rsidRDefault="00C230FA">
      <w:pPr>
        <w:pStyle w:val="ListParagraph"/>
        <w:numPr>
          <w:ilvl w:val="0"/>
          <w:numId w:val="9"/>
        </w:numPr>
        <w:spacing w:before="120" w:after="120"/>
        <w:ind w:left="360"/>
        <w:rPr>
          <w:rFonts w:eastAsia="SimSun"/>
          <w:sz w:val="21"/>
          <w:szCs w:val="20"/>
        </w:rPr>
      </w:pPr>
      <w:r>
        <w:rPr>
          <w:sz w:val="20"/>
          <w:szCs w:val="20"/>
        </w:rPr>
        <w:t xml:space="preserve">The presence of SL index field in DCI 3_1 currently follows the condition of LTE Uu operation in TDD UL/DL configuration 0-6, which may not be available in scenario of NR Uu controlling LTE. It is preferable to change the condition to follow the LTE UL/DL configuration contained in NR SIB13 parameter </w:t>
      </w:r>
      <w:r>
        <w:rPr>
          <w:sz w:val="20"/>
          <w:shd w:val="clear" w:color="auto" w:fill="FFFFFF"/>
        </w:rPr>
        <w:t>tdd-Config-r16</w:t>
      </w:r>
      <w:r>
        <w:rPr>
          <w:sz w:val="20"/>
          <w:szCs w:val="20"/>
        </w:rPr>
        <w:t>.</w:t>
      </w:r>
    </w:p>
    <w:p w:rsidR="000E0532" w:rsidRDefault="00C230FA">
      <w:pPr>
        <w:pStyle w:val="YJ-Proposal"/>
        <w:spacing w:before="120" w:after="120"/>
        <w:rPr>
          <w:lang w:val="en-US" w:eastAsia="zh-CN"/>
        </w:rPr>
      </w:pPr>
      <w:bookmarkStart w:id="0" w:name="_Toc40091871"/>
      <w:r>
        <w:rPr>
          <w:lang w:val="en-US" w:eastAsia="zh-CN"/>
        </w:rPr>
        <w:t>To adopt following TP</w:t>
      </w:r>
      <w:r>
        <w:rPr>
          <w:rFonts w:hint="eastAsia"/>
          <w:lang w:val="en-US" w:eastAsia="zh-CN"/>
        </w:rPr>
        <w:t xml:space="preserve"> </w:t>
      </w:r>
      <w:r>
        <w:rPr>
          <w:lang w:val="en-US" w:eastAsia="zh-CN"/>
        </w:rPr>
        <w:t>for</w:t>
      </w:r>
      <w:r>
        <w:rPr>
          <w:rFonts w:hint="eastAsia"/>
          <w:lang w:val="en-US" w:eastAsia="zh-CN"/>
        </w:rPr>
        <w:t xml:space="preserve"> 38.21</w:t>
      </w:r>
      <w:r>
        <w:rPr>
          <w:lang w:val="en-US" w:eastAsia="zh-CN"/>
        </w:rPr>
        <w:t>2</w:t>
      </w:r>
      <w:r>
        <w:rPr>
          <w:rFonts w:hint="eastAsia"/>
          <w:lang w:val="en-US" w:eastAsia="zh-CN"/>
        </w:rPr>
        <w:t>.</w:t>
      </w:r>
      <w:bookmarkEnd w:id="0"/>
    </w:p>
    <w:tbl>
      <w:tblPr>
        <w:tblStyle w:val="TableGrid"/>
        <w:tblW w:w="9876" w:type="dxa"/>
        <w:tblLayout w:type="fixed"/>
        <w:tblLook w:val="04A0"/>
      </w:tblPr>
      <w:tblGrid>
        <w:gridCol w:w="9876"/>
      </w:tblGrid>
      <w:tr w:rsidR="000E0532">
        <w:tc>
          <w:tcPr>
            <w:tcW w:w="9876" w:type="dxa"/>
          </w:tcPr>
          <w:p w:rsidR="000E0532" w:rsidRDefault="00C230FA">
            <w:pPr>
              <w:pStyle w:val="Heading5"/>
              <w:spacing w:beforeLines="0" w:afterLines="0" w:line="259" w:lineRule="auto"/>
              <w:outlineLvl w:val="4"/>
              <w:rPr>
                <w:rFonts w:ascii="Times New Roman" w:hAnsi="Times New Roman" w:cs="Times New Roman"/>
                <w:sz w:val="24"/>
                <w:szCs w:val="24"/>
              </w:rPr>
            </w:pPr>
            <w:bookmarkStart w:id="1" w:name="_Toc36045963"/>
            <w:bookmarkStart w:id="2" w:name="_Toc29327773"/>
            <w:bookmarkStart w:id="3" w:name="_Toc36046369"/>
            <w:bookmarkStart w:id="4" w:name="_Toc36046223"/>
            <w:bookmarkStart w:id="5" w:name="_Toc29326623"/>
            <w:r>
              <w:rPr>
                <w:rFonts w:ascii="Times New Roman" w:hAnsi="Times New Roman" w:cs="Times New Roman"/>
                <w:sz w:val="24"/>
                <w:szCs w:val="24"/>
              </w:rPr>
              <w:t>7.3.1.4.2</w:t>
            </w:r>
            <w:r>
              <w:rPr>
                <w:rFonts w:ascii="Times New Roman" w:hAnsi="Times New Roman" w:cs="Times New Roman"/>
                <w:sz w:val="24"/>
                <w:szCs w:val="24"/>
              </w:rPr>
              <w:tab/>
              <w:t>Format 3_1</w:t>
            </w:r>
            <w:bookmarkEnd w:id="1"/>
            <w:bookmarkEnd w:id="2"/>
            <w:bookmarkEnd w:id="3"/>
            <w:bookmarkEnd w:id="4"/>
            <w:bookmarkEnd w:id="5"/>
          </w:p>
          <w:p w:rsidR="000E0532" w:rsidRDefault="00C230FA">
            <w:pPr>
              <w:pStyle w:val="B1"/>
              <w:spacing w:beforeLines="0" w:afterLines="0" w:line="259" w:lineRule="auto"/>
              <w:ind w:left="0" w:firstLine="0"/>
              <w:jc w:val="center"/>
              <w:rPr>
                <w:sz w:val="20"/>
              </w:rPr>
            </w:pPr>
            <w:r>
              <w:rPr>
                <w:color w:val="FF0000"/>
                <w:sz w:val="20"/>
              </w:rPr>
              <w:t>&lt; Unchanged parts are omitted &gt;</w:t>
            </w:r>
          </w:p>
          <w:p w:rsidR="000E0532" w:rsidRDefault="00C230FA">
            <w:pPr>
              <w:pStyle w:val="B1"/>
              <w:spacing w:beforeLines="0" w:afterLines="0" w:line="259" w:lineRule="auto"/>
              <w:ind w:left="1242" w:hanging="402"/>
              <w:rPr>
                <w:sz w:val="20"/>
              </w:rPr>
            </w:pPr>
            <w:r>
              <w:rPr>
                <w:sz w:val="20"/>
              </w:rPr>
              <w:t>-</w:t>
            </w:r>
            <w:r>
              <w:rPr>
                <w:sz w:val="20"/>
              </w:rPr>
              <w:tab/>
              <w:t xml:space="preserve">SL index – 2 bits as defined in 5.3.3.1.9A of [11, TS 36.212], </w:t>
            </w:r>
            <w:r>
              <w:rPr>
                <w:color w:val="FF0000"/>
                <w:sz w:val="20"/>
                <w:u w:val="single"/>
                <w:shd w:val="clear" w:color="auto" w:fill="FFFFFF"/>
              </w:rPr>
              <w:t>except</w:t>
            </w:r>
            <w:r>
              <w:rPr>
                <w:rStyle w:val="apple-converted-space"/>
                <w:color w:val="FF0000"/>
                <w:sz w:val="20"/>
                <w:u w:val="single"/>
                <w:shd w:val="clear" w:color="auto" w:fill="FFFFFF"/>
              </w:rPr>
              <w:t> </w:t>
            </w:r>
            <w:r>
              <w:rPr>
                <w:color w:val="FF0000"/>
                <w:sz w:val="20"/>
                <w:u w:val="single"/>
                <w:shd w:val="clear" w:color="auto" w:fill="FFFFFF"/>
              </w:rPr>
              <w:t>this field is present only for cases where higher layer parameter tdd-Config-r16 provides TDD uplink-downlink configuration 0-6.</w:t>
            </w:r>
          </w:p>
          <w:p w:rsidR="000E0532" w:rsidRDefault="00C230FA">
            <w:pPr>
              <w:pStyle w:val="ListParagraph"/>
              <w:spacing w:before="120" w:afterLines="0" w:line="259" w:lineRule="auto"/>
              <w:ind w:left="0"/>
              <w:contextualSpacing w:val="0"/>
              <w:jc w:val="center"/>
              <w:rPr>
                <w:sz w:val="20"/>
                <w:szCs w:val="20"/>
              </w:rPr>
            </w:pPr>
            <w:r>
              <w:rPr>
                <w:color w:val="FF0000"/>
                <w:sz w:val="20"/>
                <w:szCs w:val="20"/>
              </w:rPr>
              <w:t>&lt; Unchanged parts are omitted &gt;</w:t>
            </w:r>
          </w:p>
        </w:tc>
      </w:tr>
    </w:tbl>
    <w:p w:rsidR="000E0532" w:rsidRDefault="00C230FA">
      <w:pPr>
        <w:pStyle w:val="ListParagraph"/>
        <w:spacing w:before="120" w:after="120"/>
        <w:ind w:left="360"/>
        <w:rPr>
          <w:rFonts w:eastAsia="SimSun"/>
          <w:sz w:val="21"/>
          <w:szCs w:val="20"/>
        </w:rPr>
      </w:pPr>
      <w:r>
        <w:rPr>
          <w:sz w:val="20"/>
          <w:szCs w:val="20"/>
        </w:rPr>
        <w:t xml:space="preserve">   </w:t>
      </w:r>
    </w:p>
    <w:p w:rsidR="000E0532" w:rsidRDefault="00C230FA">
      <w:pPr>
        <w:pStyle w:val="ListParagraph"/>
        <w:numPr>
          <w:ilvl w:val="0"/>
          <w:numId w:val="9"/>
        </w:numPr>
        <w:spacing w:before="120" w:after="120"/>
        <w:ind w:left="360"/>
        <w:rPr>
          <w:rFonts w:eastAsia="SimSun"/>
          <w:sz w:val="20"/>
          <w:szCs w:val="20"/>
        </w:rPr>
      </w:pPr>
      <w:r>
        <w:rPr>
          <w:sz w:val="20"/>
          <w:szCs w:val="20"/>
        </w:rPr>
        <w:t xml:space="preserve">In LTE spec, the definition of “SL index” can be finally traced down to following 36.213 text, which is based on signaling fields of LTE DCI format 5A. </w:t>
      </w:r>
    </w:p>
    <w:p w:rsidR="000E0532" w:rsidRDefault="00C230FA">
      <w:pPr>
        <w:spacing w:before="120" w:after="120"/>
        <w:jc w:val="center"/>
        <w:rPr>
          <w:sz w:val="20"/>
        </w:rPr>
      </w:pPr>
      <w:r>
        <w:rPr>
          <w:sz w:val="20"/>
        </w:rPr>
        <w:t>----------------------------- TS 36.213 text ------------------------------------</w:t>
      </w:r>
    </w:p>
    <w:p w:rsidR="000E0532" w:rsidRDefault="00C230FA">
      <w:pPr>
        <w:keepNext/>
        <w:keepLines/>
        <w:spacing w:beforeLines="0" w:afterLines="0"/>
        <w:jc w:val="center"/>
        <w:rPr>
          <w:rFonts w:eastAsia="Malgun Gothic"/>
          <w:b/>
          <w:sz w:val="18"/>
          <w:szCs w:val="18"/>
          <w:lang w:eastAsia="ko-KR"/>
        </w:rPr>
      </w:pPr>
      <w:r>
        <w:rPr>
          <w:b/>
          <w:sz w:val="18"/>
          <w:szCs w:val="18"/>
        </w:rPr>
        <w:lastRenderedPageBreak/>
        <w:t>Table 14.2</w:t>
      </w:r>
      <w:r>
        <w:rPr>
          <w:rFonts w:eastAsia="Malgun Gothic"/>
          <w:b/>
          <w:sz w:val="18"/>
          <w:szCs w:val="18"/>
          <w:lang w:eastAsia="ko-KR"/>
        </w:rPr>
        <w:t>.1</w:t>
      </w:r>
      <w:r>
        <w:rPr>
          <w:b/>
          <w:sz w:val="18"/>
          <w:szCs w:val="18"/>
        </w:rPr>
        <w:t xml:space="preserve">-1: </w:t>
      </w:r>
      <w:r>
        <w:rPr>
          <w:rFonts w:eastAsia="Malgun Gothic"/>
          <w:b/>
          <w:sz w:val="18"/>
          <w:szCs w:val="18"/>
          <w:lang w:eastAsia="ko-KR"/>
        </w:rPr>
        <w:t xml:space="preserve">Mapping of DCI format 5A offset field to indicated value </w:t>
      </w:r>
      <w:r>
        <w:rPr>
          <w:rFonts w:eastAsia="Malgun Gothic"/>
          <w:b/>
          <w:i/>
          <w:sz w:val="18"/>
          <w:szCs w:val="18"/>
          <w:lang w:eastAsia="ko-KR"/>
        </w:rPr>
        <w:t>m</w:t>
      </w:r>
    </w:p>
    <w:tbl>
      <w:tblPr>
        <w:tblW w:w="4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5"/>
        <w:gridCol w:w="1879"/>
      </w:tblGrid>
      <w:tr w:rsidR="000E0532">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0E0532" w:rsidRDefault="00C230FA" w:rsidP="00195747">
            <w:pPr>
              <w:keepNext/>
              <w:keepLines/>
              <w:spacing w:beforeLines="0" w:afterLines="0" w:line="240" w:lineRule="auto"/>
              <w:jc w:val="center"/>
              <w:rPr>
                <w:rFonts w:eastAsia="Malgun Gothic"/>
                <w:b/>
                <w:sz w:val="18"/>
                <w:szCs w:val="18"/>
                <w:lang w:eastAsia="ko-KR"/>
              </w:rPr>
            </w:pPr>
            <w:r>
              <w:rPr>
                <w:rFonts w:eastAsia="Malgun Gothic"/>
                <w:b/>
                <w:sz w:val="18"/>
                <w:szCs w:val="18"/>
                <w:lang w:eastAsia="ko-KR"/>
              </w:rPr>
              <w:t>SL index field in DCI format 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0E0532" w:rsidRDefault="00C230FA" w:rsidP="00195747">
            <w:pPr>
              <w:keepNext/>
              <w:keepLines/>
              <w:spacing w:beforeLines="0" w:afterLines="0" w:line="240" w:lineRule="auto"/>
              <w:jc w:val="center"/>
              <w:rPr>
                <w:rFonts w:eastAsia="Malgun Gothic"/>
                <w:b/>
                <w:sz w:val="18"/>
                <w:szCs w:val="18"/>
                <w:lang w:eastAsia="ko-KR"/>
              </w:rPr>
            </w:pPr>
            <w:r>
              <w:rPr>
                <w:rFonts w:eastAsia="Malgun Gothic"/>
                <w:b/>
                <w:sz w:val="18"/>
                <w:szCs w:val="18"/>
                <w:lang w:eastAsia="ko-KR"/>
              </w:rPr>
              <w:t xml:space="preserve">Indicated value </w:t>
            </w:r>
            <w:r>
              <w:rPr>
                <w:rFonts w:eastAsia="Malgun Gothic"/>
                <w:b/>
                <w:i/>
                <w:sz w:val="18"/>
                <w:szCs w:val="18"/>
                <w:lang w:eastAsia="ko-KR"/>
              </w:rPr>
              <w:t>m</w:t>
            </w:r>
          </w:p>
        </w:tc>
      </w:tr>
      <w:tr w:rsidR="000E0532">
        <w:trPr>
          <w:cantSplit/>
          <w:jc w:val="center"/>
        </w:trPr>
        <w:tc>
          <w:tcPr>
            <w:tcW w:w="2285" w:type="dxa"/>
          </w:tcPr>
          <w:p w:rsidR="000E0532" w:rsidRDefault="00C230FA" w:rsidP="00195747">
            <w:pPr>
              <w:keepNext/>
              <w:keepLines/>
              <w:spacing w:beforeLines="0" w:afterLines="0" w:line="240" w:lineRule="auto"/>
              <w:jc w:val="center"/>
              <w:rPr>
                <w:rFonts w:eastAsia="Malgun Gothic"/>
                <w:sz w:val="18"/>
                <w:szCs w:val="18"/>
                <w:lang w:eastAsia="ko-KR"/>
              </w:rPr>
            </w:pPr>
            <w:r>
              <w:rPr>
                <w:rFonts w:eastAsia="Malgun Gothic"/>
                <w:sz w:val="18"/>
                <w:szCs w:val="18"/>
                <w:lang w:eastAsia="ko-KR"/>
              </w:rPr>
              <w:t>'00'</w:t>
            </w:r>
          </w:p>
        </w:tc>
        <w:tc>
          <w:tcPr>
            <w:tcW w:w="1879" w:type="dxa"/>
          </w:tcPr>
          <w:p w:rsidR="000E0532" w:rsidRDefault="00C230FA" w:rsidP="00195747">
            <w:pPr>
              <w:keepNext/>
              <w:keepLines/>
              <w:spacing w:beforeLines="0" w:afterLines="0" w:line="240" w:lineRule="auto"/>
              <w:jc w:val="center"/>
              <w:rPr>
                <w:rFonts w:eastAsia="Malgun Gothic"/>
                <w:sz w:val="18"/>
                <w:szCs w:val="18"/>
                <w:lang w:eastAsia="ko-KR"/>
              </w:rPr>
            </w:pPr>
            <w:r>
              <w:rPr>
                <w:rFonts w:eastAsia="Malgun Gothic"/>
                <w:sz w:val="18"/>
                <w:szCs w:val="18"/>
                <w:lang w:eastAsia="ko-KR"/>
              </w:rPr>
              <w:t>0</w:t>
            </w:r>
          </w:p>
        </w:tc>
      </w:tr>
      <w:tr w:rsidR="000E0532">
        <w:trPr>
          <w:cantSplit/>
          <w:jc w:val="center"/>
        </w:trPr>
        <w:tc>
          <w:tcPr>
            <w:tcW w:w="2285" w:type="dxa"/>
            <w:tcBorders>
              <w:top w:val="single" w:sz="4" w:space="0" w:color="auto"/>
              <w:left w:val="single" w:sz="4" w:space="0" w:color="auto"/>
              <w:bottom w:val="single" w:sz="4" w:space="0" w:color="auto"/>
              <w:right w:val="single" w:sz="4" w:space="0" w:color="auto"/>
            </w:tcBorders>
          </w:tcPr>
          <w:p w:rsidR="000E0532" w:rsidRDefault="00C230FA" w:rsidP="00195747">
            <w:pPr>
              <w:keepNext/>
              <w:keepLines/>
              <w:spacing w:beforeLines="0" w:afterLines="0" w:line="240" w:lineRule="auto"/>
              <w:jc w:val="center"/>
              <w:rPr>
                <w:rFonts w:eastAsia="Malgun Gothic"/>
                <w:sz w:val="18"/>
                <w:szCs w:val="18"/>
                <w:lang w:eastAsia="ko-KR"/>
              </w:rPr>
            </w:pPr>
            <w:r>
              <w:rPr>
                <w:rFonts w:eastAsia="Malgun Gothic"/>
                <w:sz w:val="18"/>
                <w:szCs w:val="18"/>
                <w:lang w:eastAsia="ko-KR"/>
              </w:rPr>
              <w:t>'01'</w:t>
            </w:r>
          </w:p>
        </w:tc>
        <w:tc>
          <w:tcPr>
            <w:tcW w:w="1879" w:type="dxa"/>
            <w:tcBorders>
              <w:top w:val="single" w:sz="4" w:space="0" w:color="auto"/>
              <w:left w:val="single" w:sz="4" w:space="0" w:color="auto"/>
              <w:bottom w:val="single" w:sz="4" w:space="0" w:color="auto"/>
              <w:right w:val="single" w:sz="4" w:space="0" w:color="auto"/>
            </w:tcBorders>
          </w:tcPr>
          <w:p w:rsidR="000E0532" w:rsidRDefault="00C230FA" w:rsidP="00195747">
            <w:pPr>
              <w:keepNext/>
              <w:keepLines/>
              <w:spacing w:beforeLines="0" w:afterLines="0" w:line="240" w:lineRule="auto"/>
              <w:jc w:val="center"/>
              <w:rPr>
                <w:rFonts w:eastAsia="Malgun Gothic"/>
                <w:sz w:val="18"/>
                <w:szCs w:val="18"/>
                <w:lang w:eastAsia="ko-KR"/>
              </w:rPr>
            </w:pPr>
            <w:r>
              <w:rPr>
                <w:rFonts w:eastAsia="Malgun Gothic"/>
                <w:sz w:val="18"/>
                <w:szCs w:val="18"/>
                <w:lang w:eastAsia="ko-KR"/>
              </w:rPr>
              <w:t>1</w:t>
            </w:r>
          </w:p>
        </w:tc>
      </w:tr>
      <w:tr w:rsidR="000E0532">
        <w:trPr>
          <w:cantSplit/>
          <w:jc w:val="center"/>
        </w:trPr>
        <w:tc>
          <w:tcPr>
            <w:tcW w:w="2285" w:type="dxa"/>
            <w:tcBorders>
              <w:top w:val="single" w:sz="4" w:space="0" w:color="auto"/>
              <w:left w:val="single" w:sz="4" w:space="0" w:color="auto"/>
              <w:bottom w:val="single" w:sz="4" w:space="0" w:color="auto"/>
              <w:right w:val="single" w:sz="4" w:space="0" w:color="auto"/>
            </w:tcBorders>
          </w:tcPr>
          <w:p w:rsidR="000E0532" w:rsidRDefault="00C230FA" w:rsidP="00195747">
            <w:pPr>
              <w:keepNext/>
              <w:keepLines/>
              <w:spacing w:beforeLines="0" w:afterLines="0" w:line="240" w:lineRule="auto"/>
              <w:jc w:val="center"/>
              <w:rPr>
                <w:sz w:val="18"/>
                <w:szCs w:val="18"/>
              </w:rPr>
            </w:pPr>
            <w:r>
              <w:rPr>
                <w:rFonts w:eastAsia="Malgun Gothic"/>
                <w:sz w:val="18"/>
                <w:szCs w:val="18"/>
                <w:lang w:eastAsia="ko-KR"/>
              </w:rPr>
              <w:t>'10'</w:t>
            </w:r>
          </w:p>
        </w:tc>
        <w:tc>
          <w:tcPr>
            <w:tcW w:w="1879" w:type="dxa"/>
            <w:tcBorders>
              <w:top w:val="single" w:sz="4" w:space="0" w:color="auto"/>
              <w:left w:val="single" w:sz="4" w:space="0" w:color="auto"/>
              <w:bottom w:val="single" w:sz="4" w:space="0" w:color="auto"/>
              <w:right w:val="single" w:sz="4" w:space="0" w:color="auto"/>
            </w:tcBorders>
          </w:tcPr>
          <w:p w:rsidR="000E0532" w:rsidRDefault="00C230FA" w:rsidP="00195747">
            <w:pPr>
              <w:keepNext/>
              <w:keepLines/>
              <w:spacing w:beforeLines="0" w:afterLines="0" w:line="240" w:lineRule="auto"/>
              <w:jc w:val="center"/>
              <w:rPr>
                <w:sz w:val="18"/>
                <w:szCs w:val="18"/>
              </w:rPr>
            </w:pPr>
            <w:r>
              <w:rPr>
                <w:rFonts w:eastAsia="Malgun Gothic"/>
                <w:sz w:val="18"/>
                <w:szCs w:val="18"/>
                <w:lang w:eastAsia="ko-KR"/>
              </w:rPr>
              <w:t>2</w:t>
            </w:r>
          </w:p>
        </w:tc>
      </w:tr>
      <w:tr w:rsidR="000E0532">
        <w:trPr>
          <w:cantSplit/>
          <w:jc w:val="center"/>
        </w:trPr>
        <w:tc>
          <w:tcPr>
            <w:tcW w:w="2285" w:type="dxa"/>
            <w:tcBorders>
              <w:top w:val="single" w:sz="4" w:space="0" w:color="auto"/>
              <w:left w:val="single" w:sz="4" w:space="0" w:color="auto"/>
              <w:bottom w:val="single" w:sz="4" w:space="0" w:color="auto"/>
              <w:right w:val="single" w:sz="4" w:space="0" w:color="auto"/>
            </w:tcBorders>
          </w:tcPr>
          <w:p w:rsidR="000E0532" w:rsidRDefault="00C230FA" w:rsidP="00195747">
            <w:pPr>
              <w:keepNext/>
              <w:keepLines/>
              <w:spacing w:beforeLines="0" w:afterLines="0" w:line="240" w:lineRule="auto"/>
              <w:jc w:val="center"/>
              <w:rPr>
                <w:sz w:val="18"/>
                <w:szCs w:val="18"/>
              </w:rPr>
            </w:pPr>
            <w:r>
              <w:rPr>
                <w:rFonts w:eastAsia="Malgun Gothic"/>
                <w:sz w:val="18"/>
                <w:szCs w:val="18"/>
                <w:lang w:eastAsia="ko-KR"/>
              </w:rPr>
              <w:t>'11'</w:t>
            </w:r>
          </w:p>
        </w:tc>
        <w:tc>
          <w:tcPr>
            <w:tcW w:w="1879" w:type="dxa"/>
            <w:tcBorders>
              <w:top w:val="single" w:sz="4" w:space="0" w:color="auto"/>
              <w:left w:val="single" w:sz="4" w:space="0" w:color="auto"/>
              <w:bottom w:val="single" w:sz="4" w:space="0" w:color="auto"/>
              <w:right w:val="single" w:sz="4" w:space="0" w:color="auto"/>
            </w:tcBorders>
          </w:tcPr>
          <w:p w:rsidR="000E0532" w:rsidRDefault="00C230FA" w:rsidP="00195747">
            <w:pPr>
              <w:keepNext/>
              <w:keepLines/>
              <w:spacing w:beforeLines="0" w:afterLines="0" w:line="240" w:lineRule="auto"/>
              <w:jc w:val="center"/>
              <w:rPr>
                <w:rFonts w:eastAsia="Malgun Gothic"/>
                <w:sz w:val="18"/>
                <w:szCs w:val="18"/>
                <w:lang w:eastAsia="ko-KR"/>
              </w:rPr>
            </w:pPr>
            <w:r>
              <w:rPr>
                <w:rFonts w:eastAsia="Malgun Gothic"/>
                <w:sz w:val="18"/>
                <w:szCs w:val="18"/>
                <w:lang w:eastAsia="ko-KR"/>
              </w:rPr>
              <w:t>3</w:t>
            </w:r>
          </w:p>
        </w:tc>
      </w:tr>
    </w:tbl>
    <w:p w:rsidR="000E0532" w:rsidRDefault="00C230FA">
      <w:pPr>
        <w:spacing w:before="120" w:after="120"/>
        <w:jc w:val="center"/>
        <w:rPr>
          <w:sz w:val="20"/>
        </w:rPr>
      </w:pPr>
      <w:r>
        <w:rPr>
          <w:sz w:val="20"/>
        </w:rPr>
        <w:t>------------------------------------------------------------------------------------</w:t>
      </w:r>
    </w:p>
    <w:p w:rsidR="000E0532" w:rsidRDefault="00C230FA">
      <w:pPr>
        <w:spacing w:before="120" w:after="120"/>
        <w:rPr>
          <w:sz w:val="20"/>
        </w:rPr>
      </w:pPr>
      <w:r>
        <w:rPr>
          <w:sz w:val="20"/>
        </w:rPr>
        <w:t>Literately, the spec would look strange for a NR DCI 3_1 index field to take values according to the index field in LTE DCI 5_A</w:t>
      </w:r>
      <w:r>
        <w:rPr>
          <w:rFonts w:hint="eastAsia"/>
          <w:sz w:val="20"/>
        </w:rPr>
        <w:t xml:space="preserve">. Thus we propose the corresponding </w:t>
      </w:r>
      <w:r>
        <w:rPr>
          <w:sz w:val="20"/>
        </w:rPr>
        <w:t xml:space="preserve">38.213 </w:t>
      </w:r>
      <w:r>
        <w:rPr>
          <w:rFonts w:hint="eastAsia"/>
          <w:sz w:val="20"/>
        </w:rPr>
        <w:t xml:space="preserve">description should be modified </w:t>
      </w:r>
      <w:r>
        <w:rPr>
          <w:sz w:val="20"/>
        </w:rPr>
        <w:t xml:space="preserve">to explicitly clarify the replacement of LTE DCI 5A with NR DCI 3_1. </w:t>
      </w:r>
    </w:p>
    <w:p w:rsidR="000E0532" w:rsidRDefault="00C230FA">
      <w:pPr>
        <w:pStyle w:val="YJ-Proposal"/>
        <w:spacing w:before="120" w:after="120"/>
        <w:rPr>
          <w:lang w:val="en-US" w:eastAsia="zh-CN"/>
        </w:rPr>
      </w:pPr>
      <w:bookmarkStart w:id="6" w:name="_Toc40091872"/>
      <w:r>
        <w:rPr>
          <w:lang w:val="en-US" w:eastAsia="zh-CN"/>
        </w:rPr>
        <w:t>To adopt following TP</w:t>
      </w:r>
      <w:r>
        <w:rPr>
          <w:rFonts w:hint="eastAsia"/>
          <w:lang w:val="en-US" w:eastAsia="zh-CN"/>
        </w:rPr>
        <w:t xml:space="preserve"> </w:t>
      </w:r>
      <w:r>
        <w:rPr>
          <w:lang w:val="en-US" w:eastAsia="zh-CN"/>
        </w:rPr>
        <w:t>for</w:t>
      </w:r>
      <w:r>
        <w:rPr>
          <w:rFonts w:hint="eastAsia"/>
          <w:lang w:val="en-US" w:eastAsia="zh-CN"/>
        </w:rPr>
        <w:t xml:space="preserve"> 38.213.</w:t>
      </w:r>
      <w:bookmarkEnd w:id="6"/>
    </w:p>
    <w:tbl>
      <w:tblPr>
        <w:tblStyle w:val="TableGrid"/>
        <w:tblW w:w="9876" w:type="dxa"/>
        <w:tblLayout w:type="fixed"/>
        <w:tblLook w:val="04A0"/>
      </w:tblPr>
      <w:tblGrid>
        <w:gridCol w:w="9876"/>
      </w:tblGrid>
      <w:tr w:rsidR="000E0532">
        <w:tc>
          <w:tcPr>
            <w:tcW w:w="9876" w:type="dxa"/>
          </w:tcPr>
          <w:p w:rsidR="000E0532" w:rsidRDefault="00C230FA">
            <w:pPr>
              <w:keepNext/>
              <w:keepLines/>
              <w:spacing w:before="120" w:after="120"/>
              <w:jc w:val="left"/>
              <w:outlineLvl w:val="1"/>
              <w:rPr>
                <w:rFonts w:ascii="Arial" w:eastAsia="DengXian" w:hAnsi="Arial"/>
                <w:sz w:val="32"/>
                <w:lang w:val="en-GB"/>
              </w:rPr>
            </w:pPr>
            <w:r>
              <w:rPr>
                <w:rFonts w:ascii="Arial" w:eastAsia="DengXian" w:hAnsi="Arial"/>
                <w:sz w:val="32"/>
                <w:lang w:val="en-GB"/>
              </w:rPr>
              <w:t>16.6</w:t>
            </w:r>
            <w:r>
              <w:rPr>
                <w:rFonts w:ascii="Arial" w:eastAsia="DengXian" w:hAnsi="Arial"/>
                <w:sz w:val="32"/>
                <w:lang w:val="en-GB"/>
              </w:rPr>
              <w:tab/>
              <w:t>UE procedure for LTE sidelink transmission</w:t>
            </w:r>
          </w:p>
          <w:p w:rsidR="000E0532" w:rsidRDefault="00C230FA">
            <w:pPr>
              <w:spacing w:before="120" w:beforeAutospacing="1" w:after="120" w:afterAutospacing="1"/>
              <w:jc w:val="left"/>
              <w:rPr>
                <w:sz w:val="20"/>
              </w:rPr>
            </w:pPr>
            <w:r>
              <w:rPr>
                <w:sz w:val="20"/>
              </w:rPr>
              <w:t xml:space="preserve">If the UE detects a </w:t>
            </w:r>
            <w:r>
              <w:rPr>
                <w:sz w:val="20"/>
                <w:lang w:eastAsia="ko-KR"/>
              </w:rPr>
              <w:t xml:space="preserve">DCI format 3_1 </w:t>
            </w:r>
            <w:r>
              <w:rPr>
                <w:sz w:val="20"/>
              </w:rPr>
              <w:t xml:space="preserve">with CRC scrambled by </w:t>
            </w:r>
            <w:r>
              <w:rPr>
                <w:sz w:val="20"/>
                <w:lang w:eastAsia="ja-JP"/>
              </w:rPr>
              <w:t>SL-</w:t>
            </w:r>
            <w:r>
              <w:rPr>
                <w:sz w:val="20"/>
              </w:rPr>
              <w:t>L-CS</w:t>
            </w:r>
            <w:r>
              <w:rPr>
                <w:sz w:val="20"/>
                <w:lang w:eastAsia="ja-JP"/>
              </w:rPr>
              <w:t xml:space="preserve">-RNTI </w:t>
            </w:r>
            <w:r>
              <w:rPr>
                <w:sz w:val="20"/>
              </w:rPr>
              <w:t xml:space="preserve">in slot </w:t>
            </w:r>
            <m:oMath>
              <m:r>
                <w:rPr>
                  <w:rFonts w:ascii="Cambria Math" w:hAnsi="Cambria Math"/>
                  <w:sz w:val="20"/>
                </w:rPr>
                <m:t>n</m:t>
              </m:r>
            </m:oMath>
            <w:r>
              <w:rPr>
                <w:sz w:val="20"/>
                <w:lang w:eastAsia="ko-KR"/>
              </w:rPr>
              <w:t>, the DCI format 3_1 activates or releases</w:t>
            </w:r>
            <w:r>
              <w:rPr>
                <w:sz w:val="20"/>
              </w:rPr>
              <w:t xml:space="preserve"> an LTE sidelink</w:t>
            </w:r>
            <w:r>
              <w:rPr>
                <w:sz w:val="20"/>
                <w:lang w:eastAsia="ko-KR"/>
              </w:rPr>
              <w:t xml:space="preserve"> SPS configuration that is indicated by a SL SPS configuration index field [5, TS38.212]. If the DCI format 3_1 activates an SL SPS configuration, the UE procedure for transmitting a PSCCH and a PSSCH is as described in [13, TS</w:t>
            </w:r>
            <w:r>
              <w:rPr>
                <w:sz w:val="20"/>
              </w:rPr>
              <w:t>36.213</w:t>
            </w:r>
            <w:r>
              <w:rPr>
                <w:sz w:val="20"/>
                <w:lang w:eastAsia="ko-KR"/>
              </w:rPr>
              <w:t xml:space="preserve">] except that a transmission starts no earlier than </w:t>
            </w:r>
            <m:oMath>
              <m:sSub>
                <m:sSubPr>
                  <m:ctrlPr>
                    <w:rPr>
                      <w:rFonts w:ascii="Cambria Math" w:hAnsi="Cambria Math"/>
                      <w:i/>
                      <w:sz w:val="20"/>
                      <w:lang w:eastAsia="en-GB"/>
                    </w:rPr>
                  </m:ctrlPr>
                </m:sSubPr>
                <m:e>
                  <m:r>
                    <w:rPr>
                      <w:rFonts w:ascii="Cambria Math" w:hAnsi="Cambria Math"/>
                      <w:sz w:val="20"/>
                    </w:rPr>
                    <m:t>T</m:t>
                  </m:r>
                </m:e>
                <m:sub>
                  <m:r>
                    <w:rPr>
                      <w:rFonts w:ascii="Cambria Math" w:hAnsi="Cambria Math"/>
                      <w:sz w:val="20"/>
                    </w:rPr>
                    <m:t>DCI</m:t>
                  </m:r>
                </m:sub>
              </m:sSub>
              <m:r>
                <w:rPr>
                  <w:rFonts w:ascii="Cambria Math" w:hAnsi="Cambria Math"/>
                  <w:sz w:val="20"/>
                </w:rPr>
                <m:t>-</m:t>
              </m:r>
              <m:f>
                <m:fPr>
                  <m:ctrlPr>
                    <w:rPr>
                      <w:rFonts w:ascii="Cambria Math" w:hAnsi="Cambria Math"/>
                      <w:i/>
                      <w:sz w:val="20"/>
                      <w:lang w:eastAsia="en-GB"/>
                    </w:rPr>
                  </m:ctrlPr>
                </m:fPr>
                <m:num>
                  <m:sSub>
                    <m:sSubPr>
                      <m:ctrlPr>
                        <w:rPr>
                          <w:rFonts w:ascii="Cambria Math" w:hAnsi="Cambria Math"/>
                          <w:i/>
                          <w:sz w:val="20"/>
                          <w:lang w:eastAsia="en-GB"/>
                        </w:rPr>
                      </m:ctrlPr>
                    </m:sSubPr>
                    <m:e>
                      <m:r>
                        <w:rPr>
                          <w:rFonts w:ascii="Cambria Math" w:hAnsi="Cambria Math"/>
                          <w:sz w:val="20"/>
                        </w:rPr>
                        <m:t>N</m:t>
                      </m:r>
                    </m:e>
                    <m:sub>
                      <m:r>
                        <m:rPr>
                          <m:sty m:val="p"/>
                        </m:rPr>
                        <w:rPr>
                          <w:rFonts w:ascii="Cambria Math" w:hAnsi="Cambria Math"/>
                          <w:sz w:val="20"/>
                        </w:rPr>
                        <m:t>TA</m:t>
                      </m:r>
                    </m:sub>
                  </m:sSub>
                </m:num>
                <m:den>
                  <m:r>
                    <w:rPr>
                      <w:rFonts w:ascii="Cambria Math" w:hAnsi="Cambria Math"/>
                      <w:sz w:val="20"/>
                    </w:rPr>
                    <m:t>2</m:t>
                  </m:r>
                </m:den>
              </m:f>
              <m:r>
                <w:rPr>
                  <w:rFonts w:ascii="Cambria Math" w:hAnsi="Cambria Math"/>
                  <w:sz w:val="20"/>
                </w:rPr>
                <m:t>×</m:t>
              </m:r>
              <m:sSub>
                <m:sSubPr>
                  <m:ctrlPr>
                    <w:rPr>
                      <w:rFonts w:ascii="Cambria Math" w:hAnsi="Cambria Math"/>
                      <w:i/>
                      <w:sz w:val="20"/>
                      <w:lang w:eastAsia="en-GB"/>
                    </w:rPr>
                  </m:ctrlPr>
                </m:sSubPr>
                <m:e>
                  <m:r>
                    <w:rPr>
                      <w:rFonts w:ascii="Cambria Math" w:hAnsi="Cambria Math"/>
                      <w:sz w:val="20"/>
                    </w:rPr>
                    <m:t>T</m:t>
                  </m:r>
                </m:e>
                <m:sub>
                  <m:r>
                    <m:rPr>
                      <m:sty m:val="p"/>
                    </m:rPr>
                    <w:rPr>
                      <w:rFonts w:ascii="Cambria Math" w:hAnsi="Cambria Math"/>
                      <w:sz w:val="20"/>
                    </w:rPr>
                    <m:t>C</m:t>
                  </m:r>
                </m:sub>
              </m:sSub>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10</m:t>
                  </m:r>
                </m:e>
                <m:sup>
                  <m:r>
                    <w:rPr>
                      <w:rFonts w:ascii="Cambria Math" w:hAnsi="Cambria Math"/>
                      <w:color w:val="FF0000"/>
                      <w:sz w:val="20"/>
                    </w:rPr>
                    <m:t>3</m:t>
                  </m:r>
                </m:sup>
              </m:sSup>
              <m:r>
                <w:rPr>
                  <w:rFonts w:ascii="Cambria Math" w:hAnsi="Cambria Math"/>
                  <w:sz w:val="20"/>
                </w:rPr>
                <m:t>+X+</m:t>
              </m:r>
              <m:d>
                <m:dPr>
                  <m:ctrlPr>
                    <w:rPr>
                      <w:rFonts w:ascii="Cambria Math" w:hAnsi="Cambria Math"/>
                      <w:i/>
                      <w:sz w:val="20"/>
                      <w:lang w:eastAsia="en-GB"/>
                    </w:rPr>
                  </m:ctrlPr>
                </m:dPr>
                <m:e>
                  <m:r>
                    <w:rPr>
                      <w:rFonts w:ascii="Cambria Math" w:hAnsi="Cambria Math"/>
                      <w:sz w:val="20"/>
                    </w:rPr>
                    <m:t>4+m</m:t>
                  </m:r>
                </m:e>
              </m:d>
            </m:oMath>
            <w:r>
              <w:rPr>
                <w:sz w:val="20"/>
                <w:lang w:eastAsia="en-GB"/>
              </w:rPr>
              <w:t xml:space="preserve">  ms, </w:t>
            </w:r>
            <w:r>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DCI</m:t>
                  </m:r>
                </m:sub>
              </m:sSub>
            </m:oMath>
            <w:r>
              <w:rPr>
                <w:rFonts w:eastAsia="Malgun Gothic"/>
                <w:sz w:val="20"/>
                <w:lang w:eastAsia="ko-KR"/>
              </w:rPr>
              <w:t xml:space="preserve"> is a start time of slot </w:t>
            </w:r>
            <m:oMath>
              <m:r>
                <w:rPr>
                  <w:rFonts w:ascii="Cambria Math" w:hAnsi="Cambria Math"/>
                  <w:sz w:val="20"/>
                </w:rPr>
                <m:t>n</m:t>
              </m:r>
            </m:oMath>
            <w:r>
              <w:rPr>
                <w:rFonts w:eastAsia="Malgun Gothic"/>
                <w:sz w:val="20"/>
                <w:lang w:eastAsia="ko-KR"/>
              </w:rPr>
              <w:t xml:space="preserv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TA</m:t>
                  </m:r>
                </m:sub>
              </m:sSub>
            </m:oMath>
            <w:r>
              <w:rPr>
                <w:rFonts w:eastAsia="Malgun Gothic"/>
                <w:sz w:val="20"/>
                <w:lang w:eastAsia="ko-KR"/>
              </w:rPr>
              <w:t xml:space="preserve"> and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C</m:t>
                  </m:r>
                </m:sub>
              </m:sSub>
            </m:oMath>
            <w:r>
              <w:rPr>
                <w:rFonts w:eastAsia="Malgun Gothic"/>
                <w:sz w:val="20"/>
                <w:lang w:eastAsia="ko-KR"/>
              </w:rPr>
              <w:t xml:space="preserve"> are defined in [4, TS 38.211], </w:t>
            </w:r>
            <m:oMath>
              <m:r>
                <w:rPr>
                  <w:rFonts w:ascii="Cambria Math" w:eastAsia="Malgun Gothic" w:hAnsi="Cambria Math"/>
                  <w:sz w:val="20"/>
                  <w:lang w:eastAsia="ko-KR"/>
                </w:rPr>
                <m:t>X</m:t>
              </m:r>
            </m:oMath>
            <w:r>
              <w:rPr>
                <w:rFonts w:eastAsia="Malgun Gothic"/>
                <w:i/>
                <w:iCs/>
                <w:sz w:val="20"/>
                <w:lang w:eastAsia="ko-KR"/>
              </w:rPr>
              <w:t xml:space="preserve"> </w:t>
            </w:r>
            <w:r>
              <w:rPr>
                <w:rFonts w:eastAsia="Malgun Gothic"/>
                <w:sz w:val="20"/>
                <w:lang w:eastAsia="ko-KR"/>
              </w:rPr>
              <w:t>is a value indicated by a Timing offset field in DCI format 3_1</w:t>
            </w:r>
            <w:r>
              <w:rPr>
                <w:rFonts w:eastAsia="Malgun Gothic"/>
                <w:sz w:val="20"/>
                <w:u w:val="single"/>
                <w:lang w:eastAsia="ko-KR"/>
              </w:rPr>
              <w:t>.</w:t>
            </w:r>
            <w:r>
              <w:rPr>
                <w:rFonts w:eastAsia="Malgun Gothic"/>
                <w:strike/>
                <w:color w:val="FF0000"/>
                <w:sz w:val="20"/>
                <w:lang w:eastAsia="ko-KR"/>
              </w:rPr>
              <w:t xml:space="preserve">, and </w:t>
            </w:r>
            <m:oMath>
              <m:r>
                <w:rPr>
                  <w:rFonts w:ascii="Cambria Math" w:hAnsi="Cambria Math"/>
                  <w:strike/>
                  <w:color w:val="FF0000"/>
                  <w:sz w:val="20"/>
                </w:rPr>
                <m:t>m</m:t>
              </m:r>
            </m:oMath>
            <w:r>
              <w:rPr>
                <w:rFonts w:eastAsia="Malgun Gothic"/>
                <w:strike/>
                <w:color w:val="FF0000"/>
                <w:sz w:val="20"/>
                <w:lang w:eastAsia="ko-KR"/>
              </w:rPr>
              <w:t xml:space="preserve"> is a value indicated by SL index field in DCI format 3_1 if the SL index field is present</w:t>
            </w:r>
            <w:r>
              <w:rPr>
                <w:rFonts w:eastAsia="Malgun Gothic"/>
                <w:color w:val="FF0000"/>
                <w:sz w:val="20"/>
                <w:lang w:eastAsia="ko-KR"/>
              </w:rPr>
              <w:t xml:space="preserve"> </w:t>
            </w:r>
            <w:r>
              <w:rPr>
                <w:rFonts w:eastAsia="Malgun Gothic"/>
                <w:color w:val="FF0000"/>
                <w:sz w:val="20"/>
                <w:u w:val="single"/>
                <w:lang w:eastAsia="ko-KR"/>
              </w:rPr>
              <w:t xml:space="preserve">If SL index is present in DCI format 3_1, </w:t>
            </w:r>
            <w:r>
              <w:rPr>
                <w:rFonts w:eastAsia="Malgun Gothic"/>
                <w:i/>
                <w:color w:val="FF0000"/>
                <w:sz w:val="20"/>
                <w:u w:val="single"/>
                <w:lang w:eastAsia="ko-KR"/>
              </w:rPr>
              <w:t>m</w:t>
            </w:r>
            <w:r>
              <w:rPr>
                <w:rFonts w:eastAsia="Malgun Gothic"/>
                <w:color w:val="FF0000"/>
                <w:sz w:val="20"/>
                <w:u w:val="single"/>
                <w:lang w:eastAsia="ko-KR"/>
              </w:rPr>
              <w:t xml:space="preserve"> equals to the value indicated by SL index whose definition follows [TS36.212, TS36.213] with DCI format 5A replaced by DCI format 3_1</w:t>
            </w:r>
            <w:r>
              <w:rPr>
                <w:rFonts w:eastAsia="Malgun Gothic"/>
                <w:sz w:val="20"/>
                <w:lang w:eastAsia="ko-KR"/>
              </w:rPr>
              <w:t xml:space="preserve">; otherwise, </w:t>
            </w:r>
            <m:oMath>
              <m:r>
                <w:rPr>
                  <w:rFonts w:ascii="Cambria Math" w:eastAsia="Malgun Gothic" w:hAnsi="Cambria Math"/>
                  <w:sz w:val="20"/>
                  <w:lang w:eastAsia="ko-KR"/>
                </w:rPr>
                <m:t>m=0</m:t>
              </m:r>
            </m:oMath>
            <w:r>
              <w:rPr>
                <w:rFonts w:eastAsia="Malgun Gothic"/>
                <w:sz w:val="20"/>
                <w:lang w:eastAsia="ko-KR"/>
              </w:rPr>
              <w:t>.</w:t>
            </w:r>
          </w:p>
        </w:tc>
      </w:tr>
    </w:tbl>
    <w:p w:rsidR="000E0532" w:rsidRDefault="00C230FA">
      <w:pPr>
        <w:spacing w:before="120" w:after="120"/>
        <w:rPr>
          <w:sz w:val="20"/>
        </w:rPr>
      </w:pPr>
      <w:r>
        <w:rPr>
          <w:sz w:val="20"/>
        </w:rPr>
        <w:t xml:space="preserve">The above TP also includes the simple fix for timing unit confliction. </w:t>
      </w:r>
    </w:p>
    <w:p w:rsidR="000E0532" w:rsidRDefault="00C230FA" w:rsidP="00A74DC8">
      <w:pPr>
        <w:pStyle w:val="Heading2"/>
        <w:spacing w:beforeLines="100" w:after="120"/>
        <w:ind w:left="0" w:right="210"/>
      </w:pPr>
      <w:r>
        <w:t>Power control</w:t>
      </w:r>
    </w:p>
    <w:p w:rsidR="000E0532" w:rsidRDefault="00C230FA">
      <w:pPr>
        <w:spacing w:before="120" w:after="120"/>
        <w:rPr>
          <w:sz w:val="20"/>
        </w:rPr>
      </w:pPr>
      <w:r>
        <w:rPr>
          <w:sz w:val="20"/>
        </w:rPr>
        <w:t xml:space="preserve">Similar as NR Uu controlling NR SL, from RAN1’s perspective, it is beneficial to limit the interference to the gNB for cross-RAT scenario. Even though the scenario of NR Uu and LTE SL </w:t>
      </w:r>
      <w:r>
        <w:rPr>
          <w:rFonts w:hint="eastAsia"/>
          <w:sz w:val="20"/>
        </w:rPr>
        <w:t xml:space="preserve">operation </w:t>
      </w:r>
      <w:r>
        <w:rPr>
          <w:sz w:val="20"/>
        </w:rPr>
        <w:t xml:space="preserve">on the same carrier is not defined in RAN4 spec, we should not restrict such V2X scenarios from RAN1 perspective. </w:t>
      </w:r>
    </w:p>
    <w:p w:rsidR="000E0532" w:rsidRDefault="00C230FA">
      <w:pPr>
        <w:pStyle w:val="YJ-Proposal"/>
        <w:spacing w:before="120" w:after="120"/>
        <w:rPr>
          <w:szCs w:val="22"/>
          <w:lang w:val="en-US" w:eastAsia="zh-CN"/>
        </w:rPr>
      </w:pPr>
      <w:bookmarkStart w:id="7" w:name="_Toc40091873"/>
      <w:r>
        <w:rPr>
          <w:szCs w:val="22"/>
          <w:lang w:val="en-US" w:eastAsia="zh-CN"/>
        </w:rPr>
        <w:t>Rel-16 NR V2X supports the open-loop power control for the case where the LTE SL</w:t>
      </w:r>
      <w:r>
        <w:rPr>
          <w:rFonts w:hint="eastAsia"/>
          <w:szCs w:val="22"/>
          <w:lang w:val="en-US" w:eastAsia="zh-CN"/>
        </w:rPr>
        <w:t xml:space="preserve"> </w:t>
      </w:r>
      <w:r>
        <w:rPr>
          <w:szCs w:val="22"/>
          <w:lang w:val="en-US" w:eastAsia="zh-CN"/>
        </w:rPr>
        <w:t>controlled by NR Uu operates on the same carrier as NR Uu</w:t>
      </w:r>
      <w:r>
        <w:rPr>
          <w:rFonts w:hint="eastAsia"/>
          <w:szCs w:val="22"/>
          <w:lang w:val="en-US" w:eastAsia="zh-CN"/>
        </w:rPr>
        <w:t>.</w:t>
      </w:r>
      <w:bookmarkEnd w:id="7"/>
      <w:r>
        <w:rPr>
          <w:szCs w:val="22"/>
          <w:lang w:val="en-US" w:eastAsia="zh-CN"/>
        </w:rPr>
        <w:t> </w:t>
      </w:r>
    </w:p>
    <w:p w:rsidR="000E0532" w:rsidRDefault="00C230FA">
      <w:pPr>
        <w:spacing w:before="120" w:after="120"/>
      </w:pPr>
      <w:r>
        <w:t>When LTE SL and NR Uu share the same carrier</w:t>
      </w:r>
      <w:r>
        <w:rPr>
          <w:rFonts w:hint="eastAsia"/>
        </w:rPr>
        <w:t xml:space="preserve">, </w:t>
      </w:r>
      <w:r>
        <w:t xml:space="preserve">NR DL pathloss </w:t>
      </w:r>
      <w:r>
        <w:rPr>
          <w:rFonts w:hint="eastAsia"/>
        </w:rPr>
        <w:t>should be</w:t>
      </w:r>
      <w:r>
        <w:t xml:space="preserve"> considered </w:t>
      </w:r>
      <w:r>
        <w:rPr>
          <w:rFonts w:hint="eastAsia"/>
        </w:rPr>
        <w:t xml:space="preserve">for </w:t>
      </w:r>
      <w:r>
        <w:t xml:space="preserve">Tx </w:t>
      </w:r>
      <w:r>
        <w:rPr>
          <w:rFonts w:hint="eastAsia"/>
        </w:rPr>
        <w:t xml:space="preserve">power </w:t>
      </w:r>
      <w:r>
        <w:t xml:space="preserve">restriction </w:t>
      </w:r>
      <w:r>
        <w:rPr>
          <w:rFonts w:hint="eastAsia"/>
        </w:rPr>
        <w:t xml:space="preserve">to mitigate the interference to the gNB for both UEs in mode 3 and </w:t>
      </w:r>
      <w:r w:rsidR="00195747">
        <w:t xml:space="preserve">UEs in </w:t>
      </w:r>
      <w:r>
        <w:rPr>
          <w:rFonts w:hint="eastAsia"/>
        </w:rPr>
        <w:t xml:space="preserve">mode 4. </w:t>
      </w:r>
    </w:p>
    <w:p w:rsidR="000E0532" w:rsidRDefault="00C230FA" w:rsidP="00A74DC8">
      <w:pPr>
        <w:pStyle w:val="YJ-Proposal"/>
        <w:spacing w:before="120" w:afterLines="100"/>
        <w:rPr>
          <w:szCs w:val="22"/>
          <w:lang w:val="en-US" w:eastAsia="zh-CN"/>
        </w:rPr>
      </w:pPr>
      <w:bookmarkStart w:id="8" w:name="_Toc40091874"/>
      <w:r>
        <w:rPr>
          <w:rFonts w:hint="eastAsia"/>
          <w:szCs w:val="22"/>
          <w:lang w:val="en-US" w:eastAsia="zh-CN"/>
        </w:rPr>
        <w:t xml:space="preserve">For NR Uu scheduling LTE sidelink on the same carrier, open loop power control based on the LTE PSSCH power control formula is reused with DL pathloss </w:t>
      </w:r>
      <w:r>
        <w:rPr>
          <w:szCs w:val="22"/>
          <w:lang w:val="en-US" w:eastAsia="zh-CN"/>
        </w:rPr>
        <w:t>associated</w:t>
      </w:r>
      <w:r>
        <w:rPr>
          <w:rFonts w:hint="eastAsia"/>
          <w:szCs w:val="22"/>
          <w:lang w:val="en-US" w:eastAsia="zh-CN"/>
        </w:rPr>
        <w:t xml:space="preserve"> the gNB</w:t>
      </w:r>
      <w:r>
        <w:rPr>
          <w:szCs w:val="22"/>
          <w:lang w:val="en-US" w:eastAsia="zh-CN"/>
        </w:rPr>
        <w:t>. This applies to both LTE mode 3 and mode 4 (if UE is in coverage).</w:t>
      </w:r>
      <w:bookmarkEnd w:id="8"/>
    </w:p>
    <w:p w:rsidR="000E0532" w:rsidRDefault="00C230FA">
      <w:pPr>
        <w:pStyle w:val="Heading1"/>
        <w:spacing w:before="120" w:after="120"/>
        <w:ind w:left="0"/>
        <w:rPr>
          <w:rFonts w:eastAsia="SimSun"/>
        </w:rPr>
      </w:pPr>
      <w:r>
        <w:rPr>
          <w:rFonts w:eastAsia="SimSun" w:hint="eastAsia"/>
        </w:rPr>
        <w:lastRenderedPageBreak/>
        <w:t>Conclusion</w:t>
      </w:r>
    </w:p>
    <w:p w:rsidR="000E0532" w:rsidRDefault="00C230FA">
      <w:pPr>
        <w:spacing w:before="120" w:after="120"/>
        <w:rPr>
          <w:sz w:val="20"/>
        </w:rPr>
      </w:pPr>
      <w:r>
        <w:rPr>
          <w:rFonts w:hint="eastAsia"/>
          <w:sz w:val="20"/>
        </w:rPr>
        <w:t>Based on the discussion, the following proposal is given:</w:t>
      </w:r>
    </w:p>
    <w:p w:rsidR="000E0532" w:rsidRDefault="006476D0">
      <w:pPr>
        <w:pStyle w:val="TOC1"/>
        <w:tabs>
          <w:tab w:val="left" w:pos="1282"/>
          <w:tab w:val="right" w:pos="9650"/>
        </w:tabs>
        <w:spacing w:before="120" w:after="120"/>
        <w:rPr>
          <w:rStyle w:val="Hyperlink"/>
        </w:rPr>
      </w:pPr>
      <w:r>
        <w:fldChar w:fldCharType="begin"/>
      </w:r>
      <w:r w:rsidR="00C230FA">
        <w:instrText>TOC \n  \t "YJ-Proposal,1,sub-proposal,2,3rd level proposal,3" \h</w:instrText>
      </w:r>
      <w:r>
        <w:fldChar w:fldCharType="separate"/>
      </w:r>
      <w:hyperlink w:anchor="_Toc40091871" w:history="1">
        <w:r w:rsidR="00C230FA">
          <w:rPr>
            <w:rStyle w:val="Hyperlink"/>
            <w:rFonts w:eastAsia="SimSun"/>
          </w:rPr>
          <w:t>Proposal 1:</w:t>
        </w:r>
        <w:r w:rsidR="00C230FA">
          <w:rPr>
            <w:rFonts w:asciiTheme="minorHAnsi" w:hAnsiTheme="minorHAnsi" w:cstheme="minorBidi"/>
            <w:b w:val="0"/>
            <w:i w:val="0"/>
            <w:kern w:val="0"/>
            <w:sz w:val="22"/>
            <w:szCs w:val="22"/>
          </w:rPr>
          <w:tab/>
        </w:r>
        <w:r w:rsidR="00C230FA">
          <w:rPr>
            <w:rStyle w:val="Hyperlink"/>
          </w:rPr>
          <w:t>To adopt following TP for 38.212.</w:t>
        </w:r>
      </w:hyperlink>
    </w:p>
    <w:tbl>
      <w:tblPr>
        <w:tblStyle w:val="TableGrid"/>
        <w:tblW w:w="9876" w:type="dxa"/>
        <w:tblLayout w:type="fixed"/>
        <w:tblLook w:val="04A0"/>
      </w:tblPr>
      <w:tblGrid>
        <w:gridCol w:w="9876"/>
      </w:tblGrid>
      <w:tr w:rsidR="000E0532">
        <w:tc>
          <w:tcPr>
            <w:tcW w:w="9876" w:type="dxa"/>
          </w:tcPr>
          <w:p w:rsidR="000E0532" w:rsidRDefault="00C230FA">
            <w:pPr>
              <w:pStyle w:val="Heading5"/>
              <w:spacing w:beforeLines="0" w:afterLines="0" w:line="259" w:lineRule="auto"/>
              <w:outlineLvl w:val="4"/>
              <w:rPr>
                <w:rFonts w:ascii="Times New Roman" w:hAnsi="Times New Roman" w:cs="Times New Roman"/>
                <w:sz w:val="24"/>
                <w:szCs w:val="24"/>
              </w:rPr>
            </w:pPr>
            <w:r>
              <w:rPr>
                <w:rFonts w:ascii="Times New Roman" w:hAnsi="Times New Roman" w:cs="Times New Roman"/>
                <w:sz w:val="24"/>
                <w:szCs w:val="24"/>
              </w:rPr>
              <w:t>7.3.1.4.2</w:t>
            </w:r>
            <w:r>
              <w:rPr>
                <w:rFonts w:ascii="Times New Roman" w:hAnsi="Times New Roman" w:cs="Times New Roman"/>
                <w:sz w:val="24"/>
                <w:szCs w:val="24"/>
              </w:rPr>
              <w:tab/>
              <w:t>Format 3_1</w:t>
            </w:r>
          </w:p>
          <w:p w:rsidR="000E0532" w:rsidRDefault="00C230FA">
            <w:pPr>
              <w:pStyle w:val="B1"/>
              <w:spacing w:beforeLines="0" w:afterLines="0" w:line="259" w:lineRule="auto"/>
              <w:ind w:left="0" w:firstLine="0"/>
              <w:jc w:val="center"/>
              <w:rPr>
                <w:sz w:val="20"/>
              </w:rPr>
            </w:pPr>
            <w:r>
              <w:rPr>
                <w:color w:val="FF0000"/>
                <w:sz w:val="20"/>
              </w:rPr>
              <w:t>&lt; Unchanged parts are omitted &gt;</w:t>
            </w:r>
          </w:p>
          <w:p w:rsidR="000E0532" w:rsidRDefault="00C230FA">
            <w:pPr>
              <w:pStyle w:val="B1"/>
              <w:spacing w:beforeLines="0" w:afterLines="0" w:line="259" w:lineRule="auto"/>
              <w:ind w:left="1242" w:hanging="402"/>
              <w:rPr>
                <w:sz w:val="20"/>
              </w:rPr>
            </w:pPr>
            <w:r>
              <w:rPr>
                <w:sz w:val="20"/>
              </w:rPr>
              <w:t>-</w:t>
            </w:r>
            <w:r>
              <w:rPr>
                <w:sz w:val="20"/>
              </w:rPr>
              <w:tab/>
              <w:t xml:space="preserve">SL index – 2 bits as defined in 5.3.3.1.9A of [11, TS 36.212], </w:t>
            </w:r>
            <w:r>
              <w:rPr>
                <w:color w:val="FF0000"/>
                <w:sz w:val="20"/>
                <w:u w:val="single"/>
                <w:shd w:val="clear" w:color="auto" w:fill="FFFFFF"/>
              </w:rPr>
              <w:t>except</w:t>
            </w:r>
            <w:r>
              <w:rPr>
                <w:rStyle w:val="apple-converted-space"/>
                <w:color w:val="FF0000"/>
                <w:sz w:val="20"/>
                <w:u w:val="single"/>
                <w:shd w:val="clear" w:color="auto" w:fill="FFFFFF"/>
              </w:rPr>
              <w:t> </w:t>
            </w:r>
            <w:r>
              <w:rPr>
                <w:color w:val="FF0000"/>
                <w:sz w:val="20"/>
                <w:u w:val="single"/>
                <w:shd w:val="clear" w:color="auto" w:fill="FFFFFF"/>
              </w:rPr>
              <w:t>this field is present only for cases where higher layer parameter tdd-Config-r16 provides TDD uplink-downlink configuration 0-6.</w:t>
            </w:r>
          </w:p>
          <w:p w:rsidR="000E0532" w:rsidRDefault="00C230FA">
            <w:pPr>
              <w:spacing w:before="120" w:after="120"/>
              <w:jc w:val="center"/>
            </w:pPr>
            <w:r>
              <w:rPr>
                <w:color w:val="FF0000"/>
                <w:sz w:val="20"/>
              </w:rPr>
              <w:t>&lt; Unchanged parts are omitted &gt;</w:t>
            </w:r>
          </w:p>
        </w:tc>
      </w:tr>
    </w:tbl>
    <w:p w:rsidR="000E0532" w:rsidRDefault="000E0532">
      <w:pPr>
        <w:spacing w:before="120" w:after="120"/>
      </w:pPr>
    </w:p>
    <w:p w:rsidR="000E0532" w:rsidRDefault="006476D0">
      <w:pPr>
        <w:pStyle w:val="TOC1"/>
        <w:tabs>
          <w:tab w:val="left" w:pos="1282"/>
          <w:tab w:val="right" w:pos="9650"/>
        </w:tabs>
        <w:spacing w:before="120" w:after="120"/>
        <w:rPr>
          <w:rStyle w:val="Hyperlink"/>
        </w:rPr>
      </w:pPr>
      <w:hyperlink w:anchor="_Toc40091872" w:history="1">
        <w:r w:rsidR="00C230FA">
          <w:rPr>
            <w:rStyle w:val="Hyperlink"/>
            <w:rFonts w:eastAsia="SimSun"/>
          </w:rPr>
          <w:t>Proposal 2:</w:t>
        </w:r>
        <w:r w:rsidR="00C230FA">
          <w:rPr>
            <w:rFonts w:asciiTheme="minorHAnsi" w:hAnsiTheme="minorHAnsi" w:cstheme="minorBidi"/>
            <w:b w:val="0"/>
            <w:i w:val="0"/>
            <w:kern w:val="0"/>
            <w:sz w:val="22"/>
            <w:szCs w:val="22"/>
          </w:rPr>
          <w:tab/>
        </w:r>
        <w:r w:rsidR="00C230FA">
          <w:rPr>
            <w:rStyle w:val="Hyperlink"/>
          </w:rPr>
          <w:t>To adopt following TP for 38.213.</w:t>
        </w:r>
      </w:hyperlink>
    </w:p>
    <w:tbl>
      <w:tblPr>
        <w:tblStyle w:val="TableGrid"/>
        <w:tblW w:w="9876" w:type="dxa"/>
        <w:tblLayout w:type="fixed"/>
        <w:tblLook w:val="04A0"/>
      </w:tblPr>
      <w:tblGrid>
        <w:gridCol w:w="9876"/>
      </w:tblGrid>
      <w:tr w:rsidR="000E0532">
        <w:tc>
          <w:tcPr>
            <w:tcW w:w="9876" w:type="dxa"/>
          </w:tcPr>
          <w:p w:rsidR="000E0532" w:rsidRDefault="00C230FA">
            <w:pPr>
              <w:keepNext/>
              <w:keepLines/>
              <w:spacing w:before="120" w:after="120"/>
              <w:jc w:val="left"/>
              <w:outlineLvl w:val="1"/>
              <w:rPr>
                <w:rFonts w:ascii="Arial" w:eastAsia="DengXian" w:hAnsi="Arial"/>
                <w:sz w:val="32"/>
                <w:lang w:val="en-GB"/>
              </w:rPr>
            </w:pPr>
            <w:r>
              <w:rPr>
                <w:rFonts w:ascii="Arial" w:eastAsia="DengXian" w:hAnsi="Arial"/>
                <w:sz w:val="32"/>
                <w:lang w:val="en-GB"/>
              </w:rPr>
              <w:t>16.6</w:t>
            </w:r>
            <w:r>
              <w:rPr>
                <w:rFonts w:ascii="Arial" w:eastAsia="DengXian" w:hAnsi="Arial"/>
                <w:sz w:val="32"/>
                <w:lang w:val="en-GB"/>
              </w:rPr>
              <w:tab/>
              <w:t>UE procedure for LTE sidelink transmission</w:t>
            </w:r>
          </w:p>
          <w:p w:rsidR="000E0532" w:rsidRDefault="00C230FA">
            <w:pPr>
              <w:spacing w:before="120" w:after="120"/>
            </w:pPr>
            <w:r>
              <w:rPr>
                <w:sz w:val="20"/>
              </w:rPr>
              <w:t xml:space="preserve">If the UE detects a </w:t>
            </w:r>
            <w:r>
              <w:rPr>
                <w:sz w:val="20"/>
                <w:lang w:eastAsia="ko-KR"/>
              </w:rPr>
              <w:t xml:space="preserve">DCI format 3_1 </w:t>
            </w:r>
            <w:r>
              <w:rPr>
                <w:sz w:val="20"/>
              </w:rPr>
              <w:t xml:space="preserve">with CRC scrambled by </w:t>
            </w:r>
            <w:r>
              <w:rPr>
                <w:sz w:val="20"/>
                <w:lang w:eastAsia="ja-JP"/>
              </w:rPr>
              <w:t>SL-</w:t>
            </w:r>
            <w:r>
              <w:rPr>
                <w:sz w:val="20"/>
              </w:rPr>
              <w:t>L-CS</w:t>
            </w:r>
            <w:r>
              <w:rPr>
                <w:sz w:val="20"/>
                <w:lang w:eastAsia="ja-JP"/>
              </w:rPr>
              <w:t xml:space="preserve">-RNTI </w:t>
            </w:r>
            <w:r>
              <w:rPr>
                <w:sz w:val="20"/>
              </w:rPr>
              <w:t xml:space="preserve">in slot </w:t>
            </w:r>
            <m:oMath>
              <m:r>
                <w:rPr>
                  <w:rFonts w:ascii="Cambria Math" w:hAnsi="Cambria Math"/>
                  <w:sz w:val="20"/>
                </w:rPr>
                <m:t>n</m:t>
              </m:r>
            </m:oMath>
            <w:r>
              <w:rPr>
                <w:sz w:val="20"/>
                <w:lang w:eastAsia="ko-KR"/>
              </w:rPr>
              <w:t>, the DCI format 3_1 activates or releases</w:t>
            </w:r>
            <w:r>
              <w:rPr>
                <w:sz w:val="20"/>
              </w:rPr>
              <w:t xml:space="preserve"> an LTE sidelink</w:t>
            </w:r>
            <w:r>
              <w:rPr>
                <w:sz w:val="20"/>
                <w:lang w:eastAsia="ko-KR"/>
              </w:rPr>
              <w:t xml:space="preserve"> SPS configuration that is indicated by a SL SPS configuration index field [5, TS38.212]. If the DCI format 3_1 activates an SL SPS configuration, the UE procedure for transmitting a PSCCH and a PSSCH is as described in [13, TS</w:t>
            </w:r>
            <w:r>
              <w:rPr>
                <w:sz w:val="20"/>
              </w:rPr>
              <w:t>36.213</w:t>
            </w:r>
            <w:r>
              <w:rPr>
                <w:sz w:val="20"/>
                <w:lang w:eastAsia="ko-KR"/>
              </w:rPr>
              <w:t xml:space="preserve">] except that a transmission starts no earlier than </w:t>
            </w:r>
            <m:oMath>
              <m:sSub>
                <m:sSubPr>
                  <m:ctrlPr>
                    <w:rPr>
                      <w:rFonts w:ascii="Cambria Math" w:hAnsi="Cambria Math"/>
                      <w:i/>
                      <w:sz w:val="20"/>
                      <w:lang w:eastAsia="en-GB"/>
                    </w:rPr>
                  </m:ctrlPr>
                </m:sSubPr>
                <m:e>
                  <m:r>
                    <w:rPr>
                      <w:rFonts w:ascii="Cambria Math" w:hAnsi="Cambria Math"/>
                      <w:sz w:val="20"/>
                    </w:rPr>
                    <m:t>T</m:t>
                  </m:r>
                </m:e>
                <m:sub>
                  <m:r>
                    <w:rPr>
                      <w:rFonts w:ascii="Cambria Math" w:hAnsi="Cambria Math"/>
                      <w:sz w:val="20"/>
                    </w:rPr>
                    <m:t>DCI</m:t>
                  </m:r>
                </m:sub>
              </m:sSub>
              <m:r>
                <w:rPr>
                  <w:rFonts w:ascii="Cambria Math" w:hAnsi="Cambria Math"/>
                  <w:sz w:val="20"/>
                </w:rPr>
                <m:t>-</m:t>
              </m:r>
              <m:f>
                <m:fPr>
                  <m:ctrlPr>
                    <w:rPr>
                      <w:rFonts w:ascii="Cambria Math" w:hAnsi="Cambria Math"/>
                      <w:i/>
                      <w:sz w:val="20"/>
                      <w:lang w:eastAsia="en-GB"/>
                    </w:rPr>
                  </m:ctrlPr>
                </m:fPr>
                <m:num>
                  <m:sSub>
                    <m:sSubPr>
                      <m:ctrlPr>
                        <w:rPr>
                          <w:rFonts w:ascii="Cambria Math" w:hAnsi="Cambria Math"/>
                          <w:i/>
                          <w:sz w:val="20"/>
                          <w:lang w:eastAsia="en-GB"/>
                        </w:rPr>
                      </m:ctrlPr>
                    </m:sSubPr>
                    <m:e>
                      <m:r>
                        <w:rPr>
                          <w:rFonts w:ascii="Cambria Math" w:hAnsi="Cambria Math"/>
                          <w:sz w:val="20"/>
                        </w:rPr>
                        <m:t>N</m:t>
                      </m:r>
                    </m:e>
                    <m:sub>
                      <m:r>
                        <m:rPr>
                          <m:sty m:val="p"/>
                        </m:rPr>
                        <w:rPr>
                          <w:rFonts w:ascii="Cambria Math" w:hAnsi="Cambria Math"/>
                          <w:sz w:val="20"/>
                        </w:rPr>
                        <m:t>TA</m:t>
                      </m:r>
                    </m:sub>
                  </m:sSub>
                </m:num>
                <m:den>
                  <m:r>
                    <w:rPr>
                      <w:rFonts w:ascii="Cambria Math" w:hAnsi="Cambria Math"/>
                      <w:sz w:val="20"/>
                    </w:rPr>
                    <m:t>2</m:t>
                  </m:r>
                </m:den>
              </m:f>
              <m:r>
                <w:rPr>
                  <w:rFonts w:ascii="Cambria Math" w:hAnsi="Cambria Math"/>
                  <w:sz w:val="20"/>
                </w:rPr>
                <m:t>×</m:t>
              </m:r>
              <m:sSub>
                <m:sSubPr>
                  <m:ctrlPr>
                    <w:rPr>
                      <w:rFonts w:ascii="Cambria Math" w:hAnsi="Cambria Math"/>
                      <w:i/>
                      <w:sz w:val="20"/>
                      <w:lang w:eastAsia="en-GB"/>
                    </w:rPr>
                  </m:ctrlPr>
                </m:sSubPr>
                <m:e>
                  <m:r>
                    <w:rPr>
                      <w:rFonts w:ascii="Cambria Math" w:hAnsi="Cambria Math"/>
                      <w:sz w:val="20"/>
                    </w:rPr>
                    <m:t>T</m:t>
                  </m:r>
                </m:e>
                <m:sub>
                  <m:r>
                    <m:rPr>
                      <m:sty m:val="p"/>
                    </m:rPr>
                    <w:rPr>
                      <w:rFonts w:ascii="Cambria Math" w:hAnsi="Cambria Math"/>
                      <w:sz w:val="20"/>
                    </w:rPr>
                    <m:t>C</m:t>
                  </m:r>
                </m:sub>
              </m:sSub>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10</m:t>
                  </m:r>
                </m:e>
                <m:sup>
                  <m:r>
                    <w:rPr>
                      <w:rFonts w:ascii="Cambria Math" w:hAnsi="Cambria Math"/>
                      <w:color w:val="FF0000"/>
                      <w:sz w:val="20"/>
                    </w:rPr>
                    <m:t>3</m:t>
                  </m:r>
                </m:sup>
              </m:sSup>
              <m:r>
                <w:rPr>
                  <w:rFonts w:ascii="Cambria Math" w:hAnsi="Cambria Math"/>
                  <w:sz w:val="20"/>
                </w:rPr>
                <m:t>+X+</m:t>
              </m:r>
              <m:d>
                <m:dPr>
                  <m:ctrlPr>
                    <w:rPr>
                      <w:rFonts w:ascii="Cambria Math" w:hAnsi="Cambria Math"/>
                      <w:i/>
                      <w:sz w:val="20"/>
                      <w:lang w:eastAsia="en-GB"/>
                    </w:rPr>
                  </m:ctrlPr>
                </m:dPr>
                <m:e>
                  <m:r>
                    <w:rPr>
                      <w:rFonts w:ascii="Cambria Math" w:hAnsi="Cambria Math"/>
                      <w:sz w:val="20"/>
                    </w:rPr>
                    <m:t>4+m</m:t>
                  </m:r>
                </m:e>
              </m:d>
            </m:oMath>
            <w:r>
              <w:rPr>
                <w:sz w:val="20"/>
                <w:lang w:eastAsia="en-GB"/>
              </w:rPr>
              <w:t xml:space="preserve">  ms, </w:t>
            </w:r>
            <w:r>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DCI</m:t>
                  </m:r>
                </m:sub>
              </m:sSub>
            </m:oMath>
            <w:r>
              <w:rPr>
                <w:rFonts w:eastAsia="Malgun Gothic"/>
                <w:sz w:val="20"/>
                <w:lang w:eastAsia="ko-KR"/>
              </w:rPr>
              <w:t xml:space="preserve"> is a start time of slot </w:t>
            </w:r>
            <m:oMath>
              <m:r>
                <w:rPr>
                  <w:rFonts w:ascii="Cambria Math" w:hAnsi="Cambria Math"/>
                  <w:sz w:val="20"/>
                </w:rPr>
                <m:t>n</m:t>
              </m:r>
            </m:oMath>
            <w:r>
              <w:rPr>
                <w:rFonts w:eastAsia="Malgun Gothic"/>
                <w:sz w:val="20"/>
                <w:lang w:eastAsia="ko-KR"/>
              </w:rPr>
              <w:t xml:space="preserv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TA</m:t>
                  </m:r>
                </m:sub>
              </m:sSub>
            </m:oMath>
            <w:r>
              <w:rPr>
                <w:rFonts w:eastAsia="Malgun Gothic"/>
                <w:sz w:val="20"/>
                <w:lang w:eastAsia="ko-KR"/>
              </w:rPr>
              <w:t xml:space="preserve"> and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C</m:t>
                  </m:r>
                </m:sub>
              </m:sSub>
            </m:oMath>
            <w:r>
              <w:rPr>
                <w:rFonts w:eastAsia="Malgun Gothic"/>
                <w:sz w:val="20"/>
                <w:lang w:eastAsia="ko-KR"/>
              </w:rPr>
              <w:t xml:space="preserve"> are defined in [4, TS 38.211], </w:t>
            </w:r>
            <m:oMath>
              <m:r>
                <w:rPr>
                  <w:rFonts w:ascii="Cambria Math" w:eastAsia="Malgun Gothic" w:hAnsi="Cambria Math"/>
                  <w:sz w:val="20"/>
                  <w:lang w:eastAsia="ko-KR"/>
                </w:rPr>
                <m:t>X</m:t>
              </m:r>
            </m:oMath>
            <w:r>
              <w:rPr>
                <w:rFonts w:eastAsia="Malgun Gothic"/>
                <w:i/>
                <w:iCs/>
                <w:sz w:val="20"/>
                <w:lang w:eastAsia="ko-KR"/>
              </w:rPr>
              <w:t xml:space="preserve"> </w:t>
            </w:r>
            <w:r>
              <w:rPr>
                <w:rFonts w:eastAsia="Malgun Gothic"/>
                <w:sz w:val="20"/>
                <w:lang w:eastAsia="ko-KR"/>
              </w:rPr>
              <w:t>is a value indicated by a Timing offset field in DCI format 3_1</w:t>
            </w:r>
            <w:r>
              <w:rPr>
                <w:rFonts w:eastAsia="Malgun Gothic"/>
                <w:sz w:val="20"/>
                <w:u w:val="single"/>
                <w:lang w:eastAsia="ko-KR"/>
              </w:rPr>
              <w:t>.</w:t>
            </w:r>
            <w:r>
              <w:rPr>
                <w:rFonts w:eastAsia="Malgun Gothic"/>
                <w:strike/>
                <w:color w:val="FF0000"/>
                <w:sz w:val="20"/>
                <w:lang w:eastAsia="ko-KR"/>
              </w:rPr>
              <w:t xml:space="preserve">, and </w:t>
            </w:r>
            <m:oMath>
              <m:r>
                <w:rPr>
                  <w:rFonts w:ascii="Cambria Math" w:hAnsi="Cambria Math"/>
                  <w:strike/>
                  <w:color w:val="FF0000"/>
                  <w:sz w:val="20"/>
                </w:rPr>
                <m:t>m</m:t>
              </m:r>
            </m:oMath>
            <w:r>
              <w:rPr>
                <w:rFonts w:eastAsia="Malgun Gothic"/>
                <w:strike/>
                <w:color w:val="FF0000"/>
                <w:sz w:val="20"/>
                <w:lang w:eastAsia="ko-KR"/>
              </w:rPr>
              <w:t xml:space="preserve"> is a value indicated by SL index field in DCI format 3_1 if the SL index field is present</w:t>
            </w:r>
            <w:r>
              <w:rPr>
                <w:rFonts w:eastAsia="Malgun Gothic"/>
                <w:color w:val="FF0000"/>
                <w:sz w:val="20"/>
                <w:lang w:eastAsia="ko-KR"/>
              </w:rPr>
              <w:t xml:space="preserve"> </w:t>
            </w:r>
            <w:r>
              <w:rPr>
                <w:rFonts w:eastAsia="Malgun Gothic"/>
                <w:color w:val="FF0000"/>
                <w:sz w:val="20"/>
                <w:u w:val="single"/>
                <w:lang w:eastAsia="ko-KR"/>
              </w:rPr>
              <w:t xml:space="preserve">If SL index is present in DCI format 3_1, </w:t>
            </w:r>
            <w:r>
              <w:rPr>
                <w:rFonts w:eastAsia="Malgun Gothic"/>
                <w:i/>
                <w:color w:val="FF0000"/>
                <w:sz w:val="20"/>
                <w:u w:val="single"/>
                <w:lang w:eastAsia="ko-KR"/>
              </w:rPr>
              <w:t>m</w:t>
            </w:r>
            <w:r>
              <w:rPr>
                <w:rFonts w:eastAsia="Malgun Gothic"/>
                <w:color w:val="FF0000"/>
                <w:sz w:val="20"/>
                <w:u w:val="single"/>
                <w:lang w:eastAsia="ko-KR"/>
              </w:rPr>
              <w:t xml:space="preserve"> equals to the value indicated by SL index whose definition follows [TS36.212, TS36.213] with DCI format 5A replaced by DCI format 3_1</w:t>
            </w:r>
            <w:r>
              <w:rPr>
                <w:rFonts w:eastAsia="Malgun Gothic"/>
                <w:sz w:val="20"/>
                <w:lang w:eastAsia="ko-KR"/>
              </w:rPr>
              <w:t xml:space="preserve">; otherwise, </w:t>
            </w:r>
            <m:oMath>
              <m:r>
                <w:rPr>
                  <w:rFonts w:ascii="Cambria Math" w:eastAsia="Malgun Gothic" w:hAnsi="Cambria Math"/>
                  <w:sz w:val="20"/>
                  <w:lang w:eastAsia="ko-KR"/>
                </w:rPr>
                <m:t>m=0</m:t>
              </m:r>
            </m:oMath>
            <w:r>
              <w:rPr>
                <w:rFonts w:eastAsia="Malgun Gothic"/>
                <w:sz w:val="20"/>
                <w:lang w:eastAsia="ko-KR"/>
              </w:rPr>
              <w:t>.</w:t>
            </w:r>
          </w:p>
        </w:tc>
      </w:tr>
    </w:tbl>
    <w:p w:rsidR="000E0532" w:rsidRDefault="000E0532">
      <w:pPr>
        <w:spacing w:before="120" w:after="120"/>
      </w:pPr>
    </w:p>
    <w:p w:rsidR="000E0532" w:rsidRDefault="006476D0">
      <w:pPr>
        <w:pStyle w:val="TOC1"/>
        <w:tabs>
          <w:tab w:val="left" w:pos="1282"/>
          <w:tab w:val="right" w:pos="9650"/>
        </w:tabs>
        <w:spacing w:before="120" w:after="120"/>
        <w:rPr>
          <w:rFonts w:asciiTheme="minorHAnsi" w:hAnsiTheme="minorHAnsi" w:cstheme="minorBidi"/>
          <w:b w:val="0"/>
          <w:i w:val="0"/>
          <w:kern w:val="0"/>
          <w:sz w:val="22"/>
          <w:szCs w:val="22"/>
        </w:rPr>
      </w:pPr>
      <w:hyperlink w:anchor="_Toc40091873" w:history="1">
        <w:r w:rsidR="00C230FA">
          <w:rPr>
            <w:rStyle w:val="Hyperlink"/>
            <w:rFonts w:eastAsia="SimSun"/>
          </w:rPr>
          <w:t>Proposal 3:</w:t>
        </w:r>
        <w:r w:rsidR="00C230FA">
          <w:rPr>
            <w:rFonts w:asciiTheme="minorHAnsi" w:hAnsiTheme="minorHAnsi" w:cstheme="minorBidi"/>
            <w:b w:val="0"/>
            <w:i w:val="0"/>
            <w:kern w:val="0"/>
            <w:sz w:val="22"/>
            <w:szCs w:val="22"/>
          </w:rPr>
          <w:tab/>
        </w:r>
        <w:r w:rsidR="00C230FA">
          <w:rPr>
            <w:rStyle w:val="Hyperlink"/>
          </w:rPr>
          <w:t>Rel-16 NR V2X supports the open-loop power control for the case where the LTE SL controlled by NR Uu operates on the same carrier as NR Uu.</w:t>
        </w:r>
      </w:hyperlink>
    </w:p>
    <w:p w:rsidR="000E0532" w:rsidRDefault="006476D0">
      <w:pPr>
        <w:pStyle w:val="TOC1"/>
        <w:tabs>
          <w:tab w:val="left" w:pos="1282"/>
          <w:tab w:val="right" w:pos="9650"/>
        </w:tabs>
        <w:spacing w:before="120" w:after="120"/>
        <w:rPr>
          <w:rFonts w:asciiTheme="minorHAnsi" w:hAnsiTheme="minorHAnsi" w:cstheme="minorBidi"/>
          <w:b w:val="0"/>
          <w:i w:val="0"/>
          <w:kern w:val="0"/>
          <w:sz w:val="22"/>
          <w:szCs w:val="22"/>
        </w:rPr>
      </w:pPr>
      <w:hyperlink w:anchor="_Toc40091874" w:history="1">
        <w:r w:rsidR="00C230FA">
          <w:rPr>
            <w:rStyle w:val="Hyperlink"/>
            <w:rFonts w:eastAsia="SimSun"/>
          </w:rPr>
          <w:t>Proposal 4:</w:t>
        </w:r>
        <w:r w:rsidR="00C230FA">
          <w:rPr>
            <w:rFonts w:asciiTheme="minorHAnsi" w:hAnsiTheme="minorHAnsi" w:cstheme="minorBidi"/>
            <w:b w:val="0"/>
            <w:i w:val="0"/>
            <w:kern w:val="0"/>
            <w:sz w:val="22"/>
            <w:szCs w:val="22"/>
          </w:rPr>
          <w:tab/>
        </w:r>
        <w:r w:rsidR="00C230FA">
          <w:rPr>
            <w:rStyle w:val="Hyperlink"/>
          </w:rPr>
          <w:t>For NR Uu scheduling LTE sidelink on the same carrier, open loop power control based on the LTE PSSCH power control formula is reused with DL pathloss associated the gNB. This applies to both LTE mode 3 and mode 4 (if UE is in coverage).</w:t>
        </w:r>
      </w:hyperlink>
    </w:p>
    <w:p w:rsidR="000E0532" w:rsidRDefault="006476D0">
      <w:pPr>
        <w:pStyle w:val="TOC1"/>
        <w:tabs>
          <w:tab w:val="right" w:pos="9660"/>
        </w:tabs>
        <w:spacing w:before="120" w:after="120"/>
      </w:pPr>
      <w:r>
        <w:fldChar w:fldCharType="end"/>
      </w:r>
    </w:p>
    <w:p w:rsidR="000E0532" w:rsidRDefault="00C230FA">
      <w:pPr>
        <w:pStyle w:val="Heading1"/>
        <w:spacing w:before="120" w:after="120"/>
        <w:ind w:left="0"/>
        <w:rPr>
          <w:rFonts w:eastAsia="SimSun"/>
        </w:rPr>
      </w:pPr>
      <w:r>
        <w:rPr>
          <w:rFonts w:eastAsia="SimSun" w:hint="eastAsia"/>
        </w:rPr>
        <w:t>Reference</w:t>
      </w:r>
      <w:r>
        <w:rPr>
          <w:rFonts w:eastAsia="SimSun"/>
        </w:rPr>
        <w:t>s</w:t>
      </w:r>
    </w:p>
    <w:p w:rsidR="000E0532" w:rsidRDefault="00C230FA">
      <w:pPr>
        <w:pStyle w:val="References"/>
        <w:spacing w:before="120" w:after="120"/>
        <w:ind w:left="363" w:hanging="363"/>
      </w:pPr>
      <w:bookmarkStart w:id="9" w:name="_Ref8297"/>
      <w:r>
        <w:rPr>
          <w:rFonts w:hint="eastAsia"/>
          <w:sz w:val="20"/>
          <w:szCs w:val="20"/>
        </w:rPr>
        <w:t>Chairman</w:t>
      </w:r>
      <w:r>
        <w:rPr>
          <w:sz w:val="20"/>
          <w:szCs w:val="20"/>
        </w:rPr>
        <w:t>’</w:t>
      </w:r>
      <w:r>
        <w:rPr>
          <w:rFonts w:hint="eastAsia"/>
          <w:sz w:val="20"/>
          <w:szCs w:val="20"/>
        </w:rPr>
        <w:t>s notes, 3GPP TSG RAN WG1 #100bis-e, April 24th-30th, 2020</w:t>
      </w:r>
      <w:bookmarkStart w:id="10" w:name="_GoBack"/>
      <w:bookmarkEnd w:id="10"/>
      <w:bookmarkEnd w:id="9"/>
    </w:p>
    <w:sectPr w:rsidR="000E0532" w:rsidSect="000E053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532" w:rsidRDefault="000E0532" w:rsidP="00195747">
      <w:pPr>
        <w:spacing w:before="120" w:after="120" w:line="240" w:lineRule="auto"/>
      </w:pPr>
      <w:r>
        <w:separator/>
      </w:r>
    </w:p>
  </w:endnote>
  <w:endnote w:type="continuationSeparator" w:id="0">
    <w:p w:rsidR="000E0532" w:rsidRDefault="000E0532" w:rsidP="00195747">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532" w:rsidRDefault="000E0532">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4"/>
      <w:docPartObj>
        <w:docPartGallery w:val="AutoText"/>
      </w:docPartObj>
    </w:sdtPr>
    <w:sdtContent>
      <w:p w:rsidR="000E0532" w:rsidRDefault="006476D0">
        <w:pPr>
          <w:pStyle w:val="Footer"/>
          <w:spacing w:before="120" w:after="120"/>
          <w:jc w:val="center"/>
        </w:pPr>
        <w:r>
          <w:fldChar w:fldCharType="begin"/>
        </w:r>
        <w:r w:rsidR="00C230FA">
          <w:instrText xml:space="preserve"> PAGE   \* MERGEFORMAT </w:instrText>
        </w:r>
        <w:r>
          <w:fldChar w:fldCharType="separate"/>
        </w:r>
        <w:r w:rsidR="00A74DC8">
          <w:rPr>
            <w:noProof/>
          </w:rPr>
          <w:t>2</w:t>
        </w:r>
        <w:r>
          <w:fldChar w:fldCharType="end"/>
        </w:r>
      </w:p>
    </w:sdtContent>
  </w:sdt>
  <w:p w:rsidR="000E0532" w:rsidRDefault="000E0532">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532" w:rsidRDefault="000E0532">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532" w:rsidRDefault="000E0532" w:rsidP="00195747">
      <w:pPr>
        <w:spacing w:before="120" w:after="120" w:line="240" w:lineRule="auto"/>
      </w:pPr>
      <w:r>
        <w:separator/>
      </w:r>
    </w:p>
  </w:footnote>
  <w:footnote w:type="continuationSeparator" w:id="0">
    <w:p w:rsidR="000E0532" w:rsidRDefault="000E0532" w:rsidP="00195747">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532" w:rsidRDefault="000E0532">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532" w:rsidRDefault="000E0532">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532" w:rsidRDefault="000E0532">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0CF0070F"/>
    <w:multiLevelType w:val="multilevel"/>
    <w:tmpl w:val="0CF007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3A82B31"/>
    <w:multiLevelType w:val="multilevel"/>
    <w:tmpl w:val="23A82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num w:numId="1">
    <w:abstractNumId w:val="2"/>
  </w:num>
  <w:num w:numId="2">
    <w:abstractNumId w:val="6"/>
  </w:num>
  <w:num w:numId="3">
    <w:abstractNumId w:val="5"/>
  </w:num>
  <w:num w:numId="4">
    <w:abstractNumId w:val="1"/>
  </w:num>
  <w:num w:numId="5">
    <w:abstractNumId w:val="7"/>
  </w:num>
  <w:num w:numId="6">
    <w:abstractNumId w:val="0"/>
  </w:num>
  <w:num w:numId="7">
    <w:abstractNumId w:val="8"/>
  </w:num>
  <w:num w:numId="8">
    <w:abstractNumId w:val="4"/>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E0532"/>
    <w:rsid w:val="00172A27"/>
    <w:rsid w:val="00195747"/>
    <w:rsid w:val="001A2100"/>
    <w:rsid w:val="001A6ACB"/>
    <w:rsid w:val="001E5D6C"/>
    <w:rsid w:val="00230918"/>
    <w:rsid w:val="002527AB"/>
    <w:rsid w:val="0029382B"/>
    <w:rsid w:val="00353B6F"/>
    <w:rsid w:val="00380AFB"/>
    <w:rsid w:val="005626C0"/>
    <w:rsid w:val="00584B0E"/>
    <w:rsid w:val="005B065E"/>
    <w:rsid w:val="006171EC"/>
    <w:rsid w:val="006476D0"/>
    <w:rsid w:val="006B39DE"/>
    <w:rsid w:val="0071321D"/>
    <w:rsid w:val="007408C4"/>
    <w:rsid w:val="00750113"/>
    <w:rsid w:val="00781562"/>
    <w:rsid w:val="007C75B6"/>
    <w:rsid w:val="00802053"/>
    <w:rsid w:val="008A308D"/>
    <w:rsid w:val="00925A67"/>
    <w:rsid w:val="00947576"/>
    <w:rsid w:val="0096044C"/>
    <w:rsid w:val="00A74DC8"/>
    <w:rsid w:val="00A77519"/>
    <w:rsid w:val="00AB4DF4"/>
    <w:rsid w:val="00AD3DD4"/>
    <w:rsid w:val="00B103C6"/>
    <w:rsid w:val="00B63A81"/>
    <w:rsid w:val="00B82785"/>
    <w:rsid w:val="00C113BA"/>
    <w:rsid w:val="00C153F6"/>
    <w:rsid w:val="00C230FA"/>
    <w:rsid w:val="00CE5460"/>
    <w:rsid w:val="00D21ACC"/>
    <w:rsid w:val="00D2691C"/>
    <w:rsid w:val="00D4489F"/>
    <w:rsid w:val="00E54579"/>
    <w:rsid w:val="00F7094A"/>
    <w:rsid w:val="00FD2DE4"/>
    <w:rsid w:val="01764F01"/>
    <w:rsid w:val="024D6B6A"/>
    <w:rsid w:val="029B04E7"/>
    <w:rsid w:val="03073BDC"/>
    <w:rsid w:val="033F44DC"/>
    <w:rsid w:val="03B26DCE"/>
    <w:rsid w:val="03C47468"/>
    <w:rsid w:val="0451206B"/>
    <w:rsid w:val="0555228E"/>
    <w:rsid w:val="05697A57"/>
    <w:rsid w:val="059D1E39"/>
    <w:rsid w:val="05E078B3"/>
    <w:rsid w:val="05FF6C6C"/>
    <w:rsid w:val="06F319A4"/>
    <w:rsid w:val="077D0583"/>
    <w:rsid w:val="079724D0"/>
    <w:rsid w:val="082A352F"/>
    <w:rsid w:val="08C349D1"/>
    <w:rsid w:val="09F67CD5"/>
    <w:rsid w:val="0B4F1E8A"/>
    <w:rsid w:val="0B9E71DF"/>
    <w:rsid w:val="0C1D203F"/>
    <w:rsid w:val="0C9D30C2"/>
    <w:rsid w:val="0E172BD0"/>
    <w:rsid w:val="10A50104"/>
    <w:rsid w:val="119D7849"/>
    <w:rsid w:val="1242135C"/>
    <w:rsid w:val="12A20093"/>
    <w:rsid w:val="13287CA6"/>
    <w:rsid w:val="13A1683F"/>
    <w:rsid w:val="14DA3DA1"/>
    <w:rsid w:val="17155857"/>
    <w:rsid w:val="17950508"/>
    <w:rsid w:val="17F76095"/>
    <w:rsid w:val="19010C43"/>
    <w:rsid w:val="19084C73"/>
    <w:rsid w:val="1A054259"/>
    <w:rsid w:val="1B7F6005"/>
    <w:rsid w:val="1C132CB9"/>
    <w:rsid w:val="1CCC26CA"/>
    <w:rsid w:val="1DBD25BE"/>
    <w:rsid w:val="1E2D4522"/>
    <w:rsid w:val="1E9D6342"/>
    <w:rsid w:val="204E6676"/>
    <w:rsid w:val="2195668B"/>
    <w:rsid w:val="21BE5AD4"/>
    <w:rsid w:val="245C52F8"/>
    <w:rsid w:val="2463385E"/>
    <w:rsid w:val="25134332"/>
    <w:rsid w:val="257E508F"/>
    <w:rsid w:val="27AB7429"/>
    <w:rsid w:val="285C053E"/>
    <w:rsid w:val="29FA7F26"/>
    <w:rsid w:val="2ACA602E"/>
    <w:rsid w:val="2B774832"/>
    <w:rsid w:val="2CB47BAD"/>
    <w:rsid w:val="2E202D6D"/>
    <w:rsid w:val="2F1251F2"/>
    <w:rsid w:val="30962F3E"/>
    <w:rsid w:val="30D17E68"/>
    <w:rsid w:val="30FF2795"/>
    <w:rsid w:val="329A6ACE"/>
    <w:rsid w:val="34FB33C8"/>
    <w:rsid w:val="360B1D73"/>
    <w:rsid w:val="361F3323"/>
    <w:rsid w:val="36A065D1"/>
    <w:rsid w:val="36E93760"/>
    <w:rsid w:val="3784394E"/>
    <w:rsid w:val="37AA333F"/>
    <w:rsid w:val="38AE3BB0"/>
    <w:rsid w:val="3A093D96"/>
    <w:rsid w:val="3ACB5746"/>
    <w:rsid w:val="3BB20883"/>
    <w:rsid w:val="3C5C218C"/>
    <w:rsid w:val="3E441C7D"/>
    <w:rsid w:val="3FC06B22"/>
    <w:rsid w:val="3FC956FF"/>
    <w:rsid w:val="40A36A71"/>
    <w:rsid w:val="41D3631F"/>
    <w:rsid w:val="41F466FD"/>
    <w:rsid w:val="426F2A01"/>
    <w:rsid w:val="42A67A24"/>
    <w:rsid w:val="42D846B9"/>
    <w:rsid w:val="440D5045"/>
    <w:rsid w:val="45BE6191"/>
    <w:rsid w:val="460C5979"/>
    <w:rsid w:val="47C01792"/>
    <w:rsid w:val="4808150F"/>
    <w:rsid w:val="495C62EC"/>
    <w:rsid w:val="49E9233D"/>
    <w:rsid w:val="4A4A4403"/>
    <w:rsid w:val="4A864A6F"/>
    <w:rsid w:val="4AAD1944"/>
    <w:rsid w:val="4AC31003"/>
    <w:rsid w:val="4AE93159"/>
    <w:rsid w:val="4BCD571B"/>
    <w:rsid w:val="4BD0339A"/>
    <w:rsid w:val="4D462159"/>
    <w:rsid w:val="4D5C5FAC"/>
    <w:rsid w:val="4DC605B6"/>
    <w:rsid w:val="4DEC0985"/>
    <w:rsid w:val="4E27683A"/>
    <w:rsid w:val="4E304C8C"/>
    <w:rsid w:val="4F2765B1"/>
    <w:rsid w:val="4F285975"/>
    <w:rsid w:val="504574AD"/>
    <w:rsid w:val="51867298"/>
    <w:rsid w:val="52195EDF"/>
    <w:rsid w:val="52313387"/>
    <w:rsid w:val="52E04D27"/>
    <w:rsid w:val="539A390F"/>
    <w:rsid w:val="53DB3477"/>
    <w:rsid w:val="54461346"/>
    <w:rsid w:val="54AF6B42"/>
    <w:rsid w:val="55DD6F2A"/>
    <w:rsid w:val="56E23970"/>
    <w:rsid w:val="578F220A"/>
    <w:rsid w:val="57FC07D9"/>
    <w:rsid w:val="58500F22"/>
    <w:rsid w:val="591C0009"/>
    <w:rsid w:val="5ACF0F3A"/>
    <w:rsid w:val="5C6B1600"/>
    <w:rsid w:val="5C921AD0"/>
    <w:rsid w:val="5CA7584C"/>
    <w:rsid w:val="5D0F5899"/>
    <w:rsid w:val="5DFD51DB"/>
    <w:rsid w:val="5E0D36E5"/>
    <w:rsid w:val="5F124A3D"/>
    <w:rsid w:val="60295080"/>
    <w:rsid w:val="607C3753"/>
    <w:rsid w:val="60C30855"/>
    <w:rsid w:val="61421EFD"/>
    <w:rsid w:val="615C5041"/>
    <w:rsid w:val="664805B8"/>
    <w:rsid w:val="690F418B"/>
    <w:rsid w:val="6A7A2736"/>
    <w:rsid w:val="6A7B4B9C"/>
    <w:rsid w:val="6C89456C"/>
    <w:rsid w:val="6CB1514B"/>
    <w:rsid w:val="6E6D4707"/>
    <w:rsid w:val="6ECC2C68"/>
    <w:rsid w:val="6FA629D4"/>
    <w:rsid w:val="70BB2EF0"/>
    <w:rsid w:val="72DA13F9"/>
    <w:rsid w:val="73D425F7"/>
    <w:rsid w:val="750A2023"/>
    <w:rsid w:val="750A58D7"/>
    <w:rsid w:val="7676736A"/>
    <w:rsid w:val="76933951"/>
    <w:rsid w:val="771D661B"/>
    <w:rsid w:val="773516CF"/>
    <w:rsid w:val="77C76E13"/>
    <w:rsid w:val="78782A0D"/>
    <w:rsid w:val="79A2171F"/>
    <w:rsid w:val="79A252FF"/>
    <w:rsid w:val="79D33056"/>
    <w:rsid w:val="7C26369C"/>
    <w:rsid w:val="7C9E5A24"/>
    <w:rsid w:val="7D62117D"/>
    <w:rsid w:val="7E3E1EF2"/>
    <w:rsid w:val="7E951513"/>
    <w:rsid w:val="7EDB11DB"/>
    <w:rsid w:val="7EF74FC9"/>
    <w:rsid w:val="7EF753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toc 3" w:semiHidden="0" w:qFormat="1"/>
    <w:lsdException w:name="annotation text" w:uiPriority="0"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532"/>
    <w:pPr>
      <w:spacing w:beforeLines="50" w:afterLines="50"/>
      <w:jc w:val="both"/>
    </w:pPr>
    <w:rPr>
      <w:kern w:val="2"/>
      <w:sz w:val="21"/>
    </w:rPr>
  </w:style>
  <w:style w:type="paragraph" w:styleId="Heading1">
    <w:name w:val="heading 1"/>
    <w:basedOn w:val="Normal"/>
    <w:next w:val="Normal"/>
    <w:qFormat/>
    <w:rsid w:val="000E0532"/>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0E0532"/>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0E0532"/>
    <w:pPr>
      <w:numPr>
        <w:ilvl w:val="2"/>
      </w:numPr>
      <w:spacing w:before="120"/>
      <w:ind w:left="0"/>
      <w:outlineLvl w:val="2"/>
    </w:pPr>
    <w:rPr>
      <w:sz w:val="24"/>
    </w:rPr>
  </w:style>
  <w:style w:type="paragraph" w:styleId="Heading5">
    <w:name w:val="heading 5"/>
    <w:basedOn w:val="Normal"/>
    <w:next w:val="Normal"/>
    <w:link w:val="Heading5Char"/>
    <w:uiPriority w:val="99"/>
    <w:semiHidden/>
    <w:unhideWhenUsed/>
    <w:rsid w:val="000E0532"/>
    <w:pPr>
      <w:keepNext/>
      <w:keepLines/>
      <w:spacing w:before="200" w:after="0"/>
      <w:outlineLvl w:val="4"/>
    </w:pPr>
    <w:rPr>
      <w:rFonts w:asciiTheme="majorHAnsi" w:eastAsiaTheme="majorEastAsia" w:hAnsiTheme="majorHAnsi" w:cstheme="majorBidi"/>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0E0532"/>
    <w:pPr>
      <w:ind w:left="1135"/>
    </w:pPr>
  </w:style>
  <w:style w:type="paragraph" w:styleId="List2">
    <w:name w:val="List 2"/>
    <w:basedOn w:val="List"/>
    <w:qFormat/>
    <w:rsid w:val="000E0532"/>
    <w:pPr>
      <w:ind w:left="851"/>
    </w:pPr>
  </w:style>
  <w:style w:type="paragraph" w:styleId="List">
    <w:name w:val="List"/>
    <w:basedOn w:val="Normal"/>
    <w:qFormat/>
    <w:rsid w:val="000E0532"/>
    <w:pPr>
      <w:ind w:left="568" w:hanging="284"/>
    </w:pPr>
  </w:style>
  <w:style w:type="paragraph" w:styleId="DocumentMap">
    <w:name w:val="Document Map"/>
    <w:basedOn w:val="Normal"/>
    <w:link w:val="DocumentMapChar"/>
    <w:uiPriority w:val="99"/>
    <w:semiHidden/>
    <w:unhideWhenUsed/>
    <w:qFormat/>
    <w:rsid w:val="000E0532"/>
    <w:pPr>
      <w:spacing w:after="0" w:line="240" w:lineRule="auto"/>
    </w:pPr>
    <w:rPr>
      <w:rFonts w:ascii="Tahoma" w:hAnsi="Tahoma" w:cs="Tahoma"/>
      <w:sz w:val="16"/>
      <w:szCs w:val="16"/>
    </w:rPr>
  </w:style>
  <w:style w:type="paragraph" w:styleId="CommentText">
    <w:name w:val="annotation text"/>
    <w:basedOn w:val="Normal"/>
    <w:link w:val="CommentTextChar"/>
    <w:semiHidden/>
    <w:unhideWhenUsed/>
    <w:qFormat/>
    <w:rsid w:val="000E0532"/>
    <w:pPr>
      <w:jc w:val="left"/>
    </w:pPr>
  </w:style>
  <w:style w:type="paragraph" w:styleId="TOC3">
    <w:name w:val="toc 3"/>
    <w:basedOn w:val="Normal"/>
    <w:next w:val="Normal"/>
    <w:uiPriority w:val="99"/>
    <w:unhideWhenUsed/>
    <w:qFormat/>
    <w:rsid w:val="000E0532"/>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0E0532"/>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0E0532"/>
    <w:pPr>
      <w:tabs>
        <w:tab w:val="center" w:pos="4153"/>
        <w:tab w:val="right" w:pos="8306"/>
      </w:tabs>
      <w:snapToGrid w:val="0"/>
      <w:jc w:val="left"/>
    </w:pPr>
    <w:rPr>
      <w:sz w:val="18"/>
      <w:szCs w:val="18"/>
    </w:rPr>
  </w:style>
  <w:style w:type="paragraph" w:styleId="Header">
    <w:name w:val="header"/>
    <w:basedOn w:val="Normal"/>
    <w:link w:val="HeaderChar"/>
    <w:semiHidden/>
    <w:qFormat/>
    <w:rsid w:val="000E0532"/>
    <w:pPr>
      <w:tabs>
        <w:tab w:val="center" w:pos="4680"/>
        <w:tab w:val="right" w:pos="9360"/>
      </w:tabs>
      <w:spacing w:after="0" w:line="240" w:lineRule="auto"/>
    </w:pPr>
  </w:style>
  <w:style w:type="paragraph" w:styleId="TOC1">
    <w:name w:val="toc 1"/>
    <w:basedOn w:val="Normal"/>
    <w:next w:val="Normal"/>
    <w:uiPriority w:val="39"/>
    <w:unhideWhenUsed/>
    <w:qFormat/>
    <w:rsid w:val="000E0532"/>
    <w:rPr>
      <w:rFonts w:eastAsiaTheme="minorEastAsia"/>
      <w:b/>
      <w:i/>
      <w:sz w:val="20"/>
    </w:rPr>
  </w:style>
  <w:style w:type="paragraph" w:styleId="TableofFigures">
    <w:name w:val="table of figures"/>
    <w:basedOn w:val="Normal"/>
    <w:next w:val="Normal"/>
    <w:uiPriority w:val="99"/>
    <w:semiHidden/>
    <w:unhideWhenUsed/>
    <w:qFormat/>
    <w:rsid w:val="000E0532"/>
    <w:pPr>
      <w:ind w:leftChars="200" w:left="200" w:hangingChars="200" w:hanging="200"/>
    </w:pPr>
  </w:style>
  <w:style w:type="paragraph" w:styleId="TOC2">
    <w:name w:val="toc 2"/>
    <w:basedOn w:val="Normal"/>
    <w:next w:val="Normal"/>
    <w:uiPriority w:val="99"/>
    <w:semiHidden/>
    <w:unhideWhenUsed/>
    <w:qFormat/>
    <w:rsid w:val="000E0532"/>
    <w:pPr>
      <w:ind w:leftChars="200" w:left="862" w:hangingChars="200" w:hanging="442"/>
    </w:pPr>
    <w:rPr>
      <w:b/>
      <w:i/>
      <w:sz w:val="20"/>
    </w:rPr>
  </w:style>
  <w:style w:type="paragraph" w:styleId="NormalWeb">
    <w:name w:val="Normal (Web)"/>
    <w:basedOn w:val="Normal"/>
    <w:uiPriority w:val="99"/>
    <w:semiHidden/>
    <w:unhideWhenUsed/>
    <w:qFormat/>
    <w:rsid w:val="000E0532"/>
    <w:pPr>
      <w:spacing w:before="100" w:beforeAutospacing="1" w:after="100" w:afterAutospacing="1"/>
      <w:jc w:val="left"/>
    </w:pPr>
    <w:rPr>
      <w:rFonts w:ascii="Calibri" w:eastAsiaTheme="minorHAnsi" w:hAnsi="Calibri" w:cs="Calibri"/>
    </w:rPr>
  </w:style>
  <w:style w:type="paragraph" w:styleId="CommentSubject">
    <w:name w:val="annotation subject"/>
    <w:basedOn w:val="CommentText"/>
    <w:next w:val="CommentText"/>
    <w:link w:val="CommentSubjectChar"/>
    <w:uiPriority w:val="99"/>
    <w:semiHidden/>
    <w:unhideWhenUsed/>
    <w:qFormat/>
    <w:rsid w:val="000E0532"/>
    <w:pPr>
      <w:spacing w:line="240" w:lineRule="auto"/>
      <w:jc w:val="both"/>
    </w:pPr>
    <w:rPr>
      <w:b/>
      <w:bCs/>
      <w:sz w:val="20"/>
    </w:rPr>
  </w:style>
  <w:style w:type="table" w:styleId="TableGrid">
    <w:name w:val="Table Grid"/>
    <w:basedOn w:val="TableNormal"/>
    <w:uiPriority w:val="99"/>
    <w:rsid w:val="000E053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qFormat/>
    <w:rsid w:val="000E0532"/>
    <w:rPr>
      <w:color w:val="0000FF"/>
      <w:u w:val="single"/>
    </w:rPr>
  </w:style>
  <w:style w:type="character" w:styleId="CommentReference">
    <w:name w:val="annotation reference"/>
    <w:basedOn w:val="DefaultParagraphFont"/>
    <w:uiPriority w:val="99"/>
    <w:semiHidden/>
    <w:unhideWhenUsed/>
    <w:qFormat/>
    <w:rsid w:val="000E0532"/>
    <w:rPr>
      <w:sz w:val="16"/>
      <w:szCs w:val="16"/>
    </w:rPr>
  </w:style>
  <w:style w:type="paragraph" w:customStyle="1" w:styleId="YJ-Proposal">
    <w:name w:val="YJ-Proposal"/>
    <w:basedOn w:val="Normal"/>
    <w:qFormat/>
    <w:rsid w:val="000E0532"/>
    <w:pPr>
      <w:numPr>
        <w:numId w:val="2"/>
      </w:numPr>
    </w:pPr>
    <w:rPr>
      <w:rFonts w:eastAsiaTheme="minorEastAsia"/>
      <w:b/>
      <w:bCs/>
      <w:i/>
      <w:iCs/>
      <w:sz w:val="20"/>
      <w:lang w:val="en-GB" w:eastAsia="en-US"/>
    </w:rPr>
  </w:style>
  <w:style w:type="paragraph" w:customStyle="1" w:styleId="YJ-Observation">
    <w:name w:val="YJ-Observation"/>
    <w:basedOn w:val="YJ-Proposal"/>
    <w:qFormat/>
    <w:rsid w:val="000E0532"/>
    <w:pPr>
      <w:numPr>
        <w:numId w:val="3"/>
      </w:numPr>
      <w:tabs>
        <w:tab w:val="left" w:pos="420"/>
      </w:tabs>
    </w:pPr>
  </w:style>
  <w:style w:type="paragraph" w:customStyle="1" w:styleId="sub-proposal">
    <w:name w:val="sub-proposal"/>
    <w:basedOn w:val="YJ-Proposal"/>
    <w:next w:val="Normal"/>
    <w:qFormat/>
    <w:rsid w:val="000E0532"/>
    <w:pPr>
      <w:numPr>
        <w:numId w:val="4"/>
      </w:numPr>
      <w:ind w:leftChars="200" w:left="862" w:hangingChars="200" w:hanging="442"/>
    </w:pPr>
  </w:style>
  <w:style w:type="paragraph" w:customStyle="1" w:styleId="sub-observation">
    <w:name w:val="sub-observation"/>
    <w:basedOn w:val="sub-proposal"/>
    <w:next w:val="Normal"/>
    <w:qFormat/>
    <w:rsid w:val="000E0532"/>
  </w:style>
  <w:style w:type="paragraph" w:customStyle="1" w:styleId="References">
    <w:name w:val="References"/>
    <w:basedOn w:val="Normal"/>
    <w:qFormat/>
    <w:rsid w:val="000E0532"/>
    <w:pPr>
      <w:numPr>
        <w:numId w:val="5"/>
      </w:numPr>
      <w:spacing w:after="60"/>
    </w:pPr>
    <w:rPr>
      <w:szCs w:val="16"/>
    </w:rPr>
  </w:style>
  <w:style w:type="paragraph" w:styleId="ListParagraph">
    <w:name w:val="List Paragraph"/>
    <w:basedOn w:val="Normal"/>
    <w:uiPriority w:val="34"/>
    <w:qFormat/>
    <w:rsid w:val="000E0532"/>
    <w:pPr>
      <w:spacing w:beforeLines="0" w:after="0" w:line="240" w:lineRule="auto"/>
      <w:ind w:left="720"/>
      <w:contextualSpacing/>
    </w:pPr>
    <w:rPr>
      <w:rFonts w:eastAsia="Times New Roman"/>
      <w:sz w:val="24"/>
      <w:szCs w:val="24"/>
    </w:rPr>
  </w:style>
  <w:style w:type="paragraph" w:customStyle="1" w:styleId="1">
    <w:name w:val="样式1"/>
    <w:basedOn w:val="Normal"/>
    <w:qFormat/>
    <w:rsid w:val="000E0532"/>
  </w:style>
  <w:style w:type="paragraph" w:customStyle="1" w:styleId="3rdlevelproposal">
    <w:name w:val="3rd level proposal"/>
    <w:basedOn w:val="sub-proposal"/>
    <w:next w:val="Normal"/>
    <w:qFormat/>
    <w:rsid w:val="000E0532"/>
    <w:pPr>
      <w:numPr>
        <w:numId w:val="6"/>
      </w:numPr>
      <w:ind w:leftChars="400" w:left="1282" w:hanging="442"/>
      <w:jc w:val="left"/>
    </w:pPr>
  </w:style>
  <w:style w:type="paragraph" w:customStyle="1" w:styleId="2">
    <w:name w:val="样式2"/>
    <w:basedOn w:val="Normal"/>
    <w:qFormat/>
    <w:rsid w:val="000E0532"/>
  </w:style>
  <w:style w:type="paragraph" w:customStyle="1" w:styleId="3rdlevelobservation">
    <w:name w:val="3rd level observation"/>
    <w:basedOn w:val="sub-observation"/>
    <w:qFormat/>
    <w:rsid w:val="000E0532"/>
    <w:pPr>
      <w:numPr>
        <w:numId w:val="7"/>
      </w:numPr>
      <w:ind w:leftChars="400" w:left="1282" w:hanging="442"/>
    </w:pPr>
  </w:style>
  <w:style w:type="paragraph" w:customStyle="1" w:styleId="B1">
    <w:name w:val="B1"/>
    <w:basedOn w:val="List"/>
    <w:link w:val="B1Char1"/>
    <w:qFormat/>
    <w:rsid w:val="000E0532"/>
  </w:style>
  <w:style w:type="paragraph" w:customStyle="1" w:styleId="B2">
    <w:name w:val="B2"/>
    <w:basedOn w:val="List2"/>
    <w:link w:val="B2Char"/>
    <w:qFormat/>
    <w:rsid w:val="000E0532"/>
  </w:style>
  <w:style w:type="paragraph" w:customStyle="1" w:styleId="B3">
    <w:name w:val="B3"/>
    <w:basedOn w:val="List3"/>
    <w:qFormat/>
    <w:rsid w:val="000E0532"/>
  </w:style>
  <w:style w:type="character" w:customStyle="1" w:styleId="BalloonTextChar">
    <w:name w:val="Balloon Text Char"/>
    <w:basedOn w:val="DefaultParagraphFont"/>
    <w:link w:val="BalloonText"/>
    <w:uiPriority w:val="99"/>
    <w:semiHidden/>
    <w:qFormat/>
    <w:rsid w:val="000E0532"/>
    <w:rPr>
      <w:rFonts w:ascii="Tahoma" w:eastAsia="SimSun" w:hAnsi="Tahoma" w:cs="Tahoma"/>
      <w:kern w:val="2"/>
      <w:sz w:val="16"/>
      <w:szCs w:val="16"/>
    </w:rPr>
  </w:style>
  <w:style w:type="character" w:customStyle="1" w:styleId="DocumentMapChar">
    <w:name w:val="Document Map Char"/>
    <w:basedOn w:val="DefaultParagraphFont"/>
    <w:link w:val="DocumentMap"/>
    <w:uiPriority w:val="99"/>
    <w:semiHidden/>
    <w:qFormat/>
    <w:rsid w:val="000E0532"/>
    <w:rPr>
      <w:rFonts w:ascii="Tahoma" w:eastAsia="SimSun" w:hAnsi="Tahoma" w:cs="Tahoma"/>
      <w:kern w:val="2"/>
      <w:sz w:val="16"/>
      <w:szCs w:val="16"/>
    </w:rPr>
  </w:style>
  <w:style w:type="character" w:customStyle="1" w:styleId="HeaderChar">
    <w:name w:val="Header Char"/>
    <w:basedOn w:val="DefaultParagraphFont"/>
    <w:link w:val="Header"/>
    <w:semiHidden/>
    <w:qFormat/>
    <w:rsid w:val="000E0532"/>
    <w:rPr>
      <w:rFonts w:eastAsia="SimSun"/>
      <w:kern w:val="2"/>
      <w:sz w:val="21"/>
    </w:rPr>
  </w:style>
  <w:style w:type="character" w:customStyle="1" w:styleId="FooterChar">
    <w:name w:val="Footer Char"/>
    <w:basedOn w:val="DefaultParagraphFont"/>
    <w:link w:val="Footer"/>
    <w:uiPriority w:val="99"/>
    <w:qFormat/>
    <w:rsid w:val="000E0532"/>
    <w:rPr>
      <w:rFonts w:eastAsia="SimSun"/>
      <w:kern w:val="2"/>
      <w:sz w:val="18"/>
      <w:szCs w:val="18"/>
    </w:rPr>
  </w:style>
  <w:style w:type="character" w:customStyle="1" w:styleId="Heading5Char">
    <w:name w:val="Heading 5 Char"/>
    <w:basedOn w:val="DefaultParagraphFont"/>
    <w:link w:val="Heading5"/>
    <w:uiPriority w:val="99"/>
    <w:semiHidden/>
    <w:qFormat/>
    <w:rsid w:val="000E0532"/>
    <w:rPr>
      <w:rFonts w:asciiTheme="majorHAnsi" w:eastAsiaTheme="majorEastAsia" w:hAnsiTheme="majorHAnsi" w:cstheme="majorBidi"/>
      <w:color w:val="244061" w:themeColor="accent1" w:themeShade="80"/>
      <w:kern w:val="2"/>
      <w:sz w:val="21"/>
    </w:rPr>
  </w:style>
  <w:style w:type="character" w:customStyle="1" w:styleId="B1Char1">
    <w:name w:val="B1 Char1"/>
    <w:link w:val="B1"/>
    <w:qFormat/>
    <w:rsid w:val="000E0532"/>
    <w:rPr>
      <w:rFonts w:eastAsia="SimSun"/>
      <w:kern w:val="2"/>
      <w:sz w:val="21"/>
    </w:rPr>
  </w:style>
  <w:style w:type="character" w:customStyle="1" w:styleId="B2Char">
    <w:name w:val="B2 Char"/>
    <w:link w:val="B2"/>
    <w:qFormat/>
    <w:locked/>
    <w:rsid w:val="000E0532"/>
    <w:rPr>
      <w:rFonts w:eastAsia="SimSun"/>
      <w:kern w:val="2"/>
      <w:sz w:val="21"/>
    </w:rPr>
  </w:style>
  <w:style w:type="character" w:customStyle="1" w:styleId="CommentTextChar">
    <w:name w:val="Comment Text Char"/>
    <w:basedOn w:val="DefaultParagraphFont"/>
    <w:link w:val="CommentText"/>
    <w:semiHidden/>
    <w:qFormat/>
    <w:rsid w:val="000E0532"/>
    <w:rPr>
      <w:rFonts w:eastAsia="SimSun"/>
      <w:kern w:val="2"/>
      <w:sz w:val="21"/>
    </w:rPr>
  </w:style>
  <w:style w:type="character" w:customStyle="1" w:styleId="CommentSubjectChar">
    <w:name w:val="Comment Subject Char"/>
    <w:basedOn w:val="CommentTextChar"/>
    <w:link w:val="CommentSubject"/>
    <w:qFormat/>
    <w:rsid w:val="000E0532"/>
    <w:rPr>
      <w:rFonts w:eastAsia="SimSun"/>
      <w:kern w:val="2"/>
      <w:sz w:val="21"/>
    </w:rPr>
  </w:style>
  <w:style w:type="paragraph" w:customStyle="1" w:styleId="LGTdoc">
    <w:name w:val="LGTdoc_본문"/>
    <w:basedOn w:val="Normal"/>
    <w:qFormat/>
    <w:rsid w:val="000E0532"/>
    <w:pPr>
      <w:widowControl w:val="0"/>
      <w:autoSpaceDE w:val="0"/>
      <w:autoSpaceDN w:val="0"/>
      <w:adjustRightInd w:val="0"/>
      <w:snapToGrid w:val="0"/>
      <w:spacing w:line="264" w:lineRule="auto"/>
    </w:pPr>
    <w:rPr>
      <w:sz w:val="22"/>
      <w:lang w:eastAsia="ko-KR"/>
    </w:rPr>
  </w:style>
  <w:style w:type="character" w:customStyle="1" w:styleId="apple-converted-space">
    <w:name w:val="apple-converted-space"/>
    <w:basedOn w:val="DefaultParagraphFont"/>
    <w:qFormat/>
    <w:rsid w:val="000E053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4FA24-DB9A-4A6F-AE22-70D2EF03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1147</Words>
  <Characters>5745</Characters>
  <Application>Microsoft Office Word</Application>
  <DocSecurity>0</DocSecurity>
  <Lines>47</Lines>
  <Paragraphs>13</Paragraphs>
  <ScaleCrop>false</ScaleCrop>
  <Company/>
  <LinksUpToDate>false</LinksUpToDate>
  <CharactersWithSpaces>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18</cp:revision>
  <dcterms:created xsi:type="dcterms:W3CDTF">2019-04-08T03:09:00Z</dcterms:created>
  <dcterms:modified xsi:type="dcterms:W3CDTF">2020-05-15T16:43:00Z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